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3FD3" w14:textId="77777777" w:rsidR="00825A11" w:rsidRDefault="00825A11"/>
    <w:p w14:paraId="5EDF5D4A" w14:textId="77777777" w:rsidR="00825A11" w:rsidRDefault="00825A11"/>
    <w:p w14:paraId="3A0ABF58" w14:textId="6E17646C" w:rsidR="00825A11" w:rsidRDefault="007820DD">
      <w:r w:rsidRPr="00841053">
        <w:rPr>
          <w:rFonts w:eastAsia="Calibri"/>
          <w:noProof/>
        </w:rPr>
        <w:drawing>
          <wp:inline distT="0" distB="0" distL="0" distR="0" wp14:anchorId="358E48A5" wp14:editId="50DE6561">
            <wp:extent cx="2159000" cy="623352"/>
            <wp:effectExtent l="0" t="0" r="0" b="5715"/>
            <wp:docPr id="4" name="Picture 4"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711" cy="635972"/>
                    </a:xfrm>
                    <a:prstGeom prst="rect">
                      <a:avLst/>
                    </a:prstGeom>
                  </pic:spPr>
                </pic:pic>
              </a:graphicData>
            </a:graphic>
          </wp:inline>
        </w:drawing>
      </w:r>
    </w:p>
    <w:p w14:paraId="495B562E" w14:textId="77777777" w:rsidR="00825A11" w:rsidRDefault="00825A11"/>
    <w:tbl>
      <w:tblPr>
        <w:tblW w:w="8647" w:type="dxa"/>
        <w:tblLayout w:type="fixed"/>
        <w:tblLook w:val="0000" w:firstRow="0" w:lastRow="0" w:firstColumn="0" w:lastColumn="0" w:noHBand="0" w:noVBand="0"/>
      </w:tblPr>
      <w:tblGrid>
        <w:gridCol w:w="3456"/>
        <w:gridCol w:w="5191"/>
      </w:tblGrid>
      <w:tr w:rsidR="00825A11" w:rsidRPr="005E3A10" w14:paraId="308E7669" w14:textId="77777777" w:rsidTr="004203E3">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191"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rsidTr="004203E3">
        <w:tc>
          <w:tcPr>
            <w:tcW w:w="3456" w:type="dxa"/>
            <w:tcBorders>
              <w:bottom w:val="single" w:sz="18" w:space="0" w:color="auto"/>
            </w:tcBorders>
          </w:tcPr>
          <w:p w14:paraId="64615B41" w14:textId="77777777" w:rsidR="00333FAA" w:rsidRPr="00615C75" w:rsidRDefault="00333FAA" w:rsidP="00A53B04">
            <w:pPr>
              <w:pStyle w:val="Infotext"/>
              <w:rPr>
                <w:rFonts w:ascii="Arial Black" w:hAnsi="Arial Black"/>
                <w:sz w:val="36"/>
                <w:szCs w:val="36"/>
              </w:rPr>
            </w:pPr>
            <w:r w:rsidRPr="00615C75">
              <w:rPr>
                <w:rFonts w:ascii="Arial Black" w:hAnsi="Arial Black"/>
                <w:sz w:val="36"/>
                <w:szCs w:val="36"/>
              </w:rPr>
              <w:t>REPORT FOR:</w:t>
            </w:r>
          </w:p>
          <w:p w14:paraId="05F6C6E6" w14:textId="77777777" w:rsidR="00333FAA" w:rsidRPr="00615C75" w:rsidRDefault="00333FAA" w:rsidP="00A53B04">
            <w:pPr>
              <w:pStyle w:val="Infotext"/>
              <w:rPr>
                <w:rFonts w:ascii="Arial Black" w:hAnsi="Arial Black" w:cs="Arial"/>
                <w:sz w:val="36"/>
                <w:szCs w:val="36"/>
              </w:rPr>
            </w:pPr>
          </w:p>
        </w:tc>
        <w:tc>
          <w:tcPr>
            <w:tcW w:w="5191" w:type="dxa"/>
            <w:tcBorders>
              <w:bottom w:val="single" w:sz="18" w:space="0" w:color="auto"/>
            </w:tcBorders>
          </w:tcPr>
          <w:p w14:paraId="1ECEF941" w14:textId="77777777" w:rsidR="007218EF" w:rsidRPr="007218EF" w:rsidRDefault="007218EF" w:rsidP="007218EF">
            <w:pPr>
              <w:rPr>
                <w:rFonts w:ascii="Arial Black" w:hAnsi="Arial Black" w:cs="Arial"/>
                <w:sz w:val="36"/>
                <w:szCs w:val="36"/>
              </w:rPr>
            </w:pPr>
            <w:r w:rsidRPr="007218EF">
              <w:rPr>
                <w:rFonts w:ascii="Arial Black" w:hAnsi="Arial Black" w:cs="Arial"/>
                <w:sz w:val="36"/>
                <w:szCs w:val="36"/>
              </w:rPr>
              <w:t xml:space="preserve">EMPLOYEES’ </w:t>
            </w:r>
          </w:p>
          <w:p w14:paraId="673929D0" w14:textId="053CF8D3" w:rsidR="00333FAA" w:rsidRPr="00615C75" w:rsidRDefault="007218EF" w:rsidP="007218EF">
            <w:pPr>
              <w:rPr>
                <w:rFonts w:ascii="Arial Black" w:hAnsi="Arial Black" w:cs="Arial"/>
                <w:szCs w:val="24"/>
              </w:rPr>
            </w:pPr>
            <w:r w:rsidRPr="007218EF">
              <w:rPr>
                <w:rFonts w:ascii="Arial Black" w:hAnsi="Arial Black" w:cs="Arial"/>
                <w:sz w:val="36"/>
                <w:szCs w:val="36"/>
              </w:rPr>
              <w:t>CONSULTATIVE FORUM</w:t>
            </w:r>
          </w:p>
        </w:tc>
      </w:tr>
      <w:tr w:rsidR="00333FAA" w14:paraId="40848C74" w14:textId="77777777" w:rsidTr="004203E3">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191" w:type="dxa"/>
            <w:tcBorders>
              <w:top w:val="single" w:sz="18" w:space="0" w:color="auto"/>
            </w:tcBorders>
          </w:tcPr>
          <w:p w14:paraId="10C068E3" w14:textId="6F99CC9B" w:rsidR="00EF7301" w:rsidRPr="005E3A10" w:rsidRDefault="007820DD" w:rsidP="00D50618">
            <w:pPr>
              <w:rPr>
                <w:rFonts w:cs="Arial"/>
                <w:szCs w:val="24"/>
              </w:rPr>
            </w:pPr>
            <w:r>
              <w:rPr>
                <w:rFonts w:cs="Arial"/>
                <w:szCs w:val="24"/>
              </w:rPr>
              <w:t>1</w:t>
            </w:r>
            <w:r w:rsidR="007218EF">
              <w:rPr>
                <w:rFonts w:cs="Arial"/>
                <w:szCs w:val="24"/>
              </w:rPr>
              <w:t>0 January 2024</w:t>
            </w:r>
          </w:p>
        </w:tc>
      </w:tr>
      <w:tr w:rsidR="00333FAA" w14:paraId="477F087F" w14:textId="77777777" w:rsidTr="004203E3">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191" w:type="dxa"/>
          </w:tcPr>
          <w:p w14:paraId="30F04242" w14:textId="77777777" w:rsidR="007218EF" w:rsidRPr="007218EF" w:rsidRDefault="007218EF" w:rsidP="00D50618">
            <w:pPr>
              <w:rPr>
                <w:rFonts w:cs="Arial"/>
                <w:b/>
                <w:bCs/>
                <w:szCs w:val="24"/>
              </w:rPr>
            </w:pPr>
          </w:p>
          <w:p w14:paraId="0323552C" w14:textId="44DB6CF8" w:rsidR="00333FAA" w:rsidRDefault="00EF7301" w:rsidP="00D50618">
            <w:pPr>
              <w:rPr>
                <w:rFonts w:cs="Arial"/>
                <w:szCs w:val="24"/>
              </w:rPr>
            </w:pPr>
            <w:r>
              <w:rPr>
                <w:rFonts w:cs="Arial"/>
                <w:szCs w:val="24"/>
              </w:rPr>
              <w:t>Draft Revenue Budget 20</w:t>
            </w:r>
            <w:r w:rsidR="00D50618">
              <w:rPr>
                <w:rFonts w:cs="Arial"/>
                <w:szCs w:val="24"/>
              </w:rPr>
              <w:t>2</w:t>
            </w:r>
            <w:r w:rsidR="007820DD">
              <w:rPr>
                <w:rFonts w:cs="Arial"/>
                <w:szCs w:val="24"/>
              </w:rPr>
              <w:t>4</w:t>
            </w:r>
            <w:r w:rsidR="006859D8">
              <w:rPr>
                <w:rFonts w:cs="Arial"/>
                <w:szCs w:val="24"/>
              </w:rPr>
              <w:t>/2</w:t>
            </w:r>
            <w:r w:rsidR="007820DD">
              <w:rPr>
                <w:rFonts w:cs="Arial"/>
                <w:szCs w:val="24"/>
              </w:rPr>
              <w:t>5</w:t>
            </w:r>
            <w:r w:rsidR="00CB57B1">
              <w:rPr>
                <w:rFonts w:cs="Arial"/>
                <w:szCs w:val="24"/>
              </w:rPr>
              <w:t xml:space="preserve"> </w:t>
            </w:r>
            <w:r>
              <w:rPr>
                <w:rFonts w:cs="Arial"/>
                <w:szCs w:val="24"/>
              </w:rPr>
              <w:t xml:space="preserve">and </w:t>
            </w:r>
            <w:r w:rsidR="006B54AD">
              <w:rPr>
                <w:rFonts w:cs="Arial"/>
                <w:szCs w:val="24"/>
              </w:rPr>
              <w:t xml:space="preserve">draft </w:t>
            </w:r>
            <w:r>
              <w:rPr>
                <w:rFonts w:cs="Arial"/>
                <w:szCs w:val="24"/>
              </w:rPr>
              <w:t xml:space="preserve">Medium Term Financial Strategy </w:t>
            </w:r>
            <w:r w:rsidR="00284F14" w:rsidRPr="00861C00">
              <w:rPr>
                <w:rFonts w:cs="Arial"/>
                <w:szCs w:val="24"/>
              </w:rPr>
              <w:t>to 20</w:t>
            </w:r>
            <w:r w:rsidR="00F74F06">
              <w:rPr>
                <w:rFonts w:cs="Arial"/>
                <w:szCs w:val="24"/>
              </w:rPr>
              <w:t>2</w:t>
            </w:r>
            <w:r w:rsidR="007820DD">
              <w:rPr>
                <w:rFonts w:cs="Arial"/>
                <w:szCs w:val="24"/>
              </w:rPr>
              <w:t>6</w:t>
            </w:r>
            <w:r w:rsidR="00284F14" w:rsidRPr="00861C00">
              <w:rPr>
                <w:rFonts w:cs="Arial"/>
                <w:szCs w:val="24"/>
              </w:rPr>
              <w:t>/</w:t>
            </w:r>
            <w:r w:rsidR="007F17EB" w:rsidRPr="00861C00">
              <w:rPr>
                <w:rFonts w:cs="Arial"/>
                <w:szCs w:val="24"/>
              </w:rPr>
              <w:t>2</w:t>
            </w:r>
            <w:r w:rsidR="007820DD">
              <w:rPr>
                <w:rFonts w:cs="Arial"/>
                <w:szCs w:val="24"/>
              </w:rPr>
              <w:t>7</w:t>
            </w:r>
          </w:p>
          <w:p w14:paraId="7D873812" w14:textId="77777777" w:rsidR="006859D8" w:rsidRPr="005E3A10" w:rsidRDefault="006859D8" w:rsidP="00D50618">
            <w:pPr>
              <w:rPr>
                <w:rFonts w:cs="Arial"/>
                <w:szCs w:val="24"/>
              </w:rPr>
            </w:pPr>
          </w:p>
        </w:tc>
      </w:tr>
      <w:tr w:rsidR="00333FAA" w14:paraId="3873B1C6" w14:textId="77777777" w:rsidTr="004203E3">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191"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rsidTr="004203E3">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191" w:type="dxa"/>
          </w:tcPr>
          <w:p w14:paraId="0DC4CD31" w14:textId="131ECED5" w:rsidR="001C7E35" w:rsidRPr="005E3A10" w:rsidRDefault="007820DD" w:rsidP="00D835CF">
            <w:pPr>
              <w:pStyle w:val="Infotext"/>
              <w:rPr>
                <w:rFonts w:cs="Arial"/>
                <w:sz w:val="24"/>
                <w:szCs w:val="24"/>
              </w:rPr>
            </w:pPr>
            <w:r>
              <w:rPr>
                <w:rFonts w:cs="Arial"/>
                <w:sz w:val="24"/>
                <w:szCs w:val="24"/>
              </w:rPr>
              <w:t>Sharon Daniels</w:t>
            </w:r>
            <w:r w:rsidR="00284F14">
              <w:rPr>
                <w:rFonts w:cs="Arial"/>
                <w:sz w:val="24"/>
                <w:szCs w:val="24"/>
              </w:rPr>
              <w:t xml:space="preserve"> – </w:t>
            </w:r>
            <w:r>
              <w:rPr>
                <w:rFonts w:cs="Arial"/>
                <w:sz w:val="24"/>
                <w:szCs w:val="24"/>
              </w:rPr>
              <w:t xml:space="preserve">Interim </w:t>
            </w:r>
            <w:r w:rsidR="00284F14">
              <w:rPr>
                <w:rFonts w:cs="Arial"/>
                <w:sz w:val="24"/>
                <w:szCs w:val="24"/>
              </w:rPr>
              <w:t>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rsidTr="004203E3">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191" w:type="dxa"/>
          </w:tcPr>
          <w:p w14:paraId="207BC584" w14:textId="15C701A0" w:rsidR="001C7E35" w:rsidRPr="005E3A10" w:rsidRDefault="00284F14" w:rsidP="00802EE0">
            <w:pPr>
              <w:pStyle w:val="Infotext"/>
              <w:rPr>
                <w:rFonts w:cs="Arial"/>
                <w:color w:val="FF0000"/>
                <w:sz w:val="24"/>
                <w:szCs w:val="24"/>
              </w:rPr>
            </w:pPr>
            <w:r>
              <w:rPr>
                <w:rFonts w:cs="Arial"/>
                <w:sz w:val="24"/>
                <w:szCs w:val="24"/>
              </w:rPr>
              <w:t xml:space="preserve">Councillor </w:t>
            </w:r>
            <w:r w:rsidR="00CB57B1">
              <w:rPr>
                <w:rFonts w:cs="Arial"/>
                <w:sz w:val="24"/>
                <w:szCs w:val="24"/>
              </w:rPr>
              <w:t>David Ashton</w:t>
            </w:r>
            <w:r>
              <w:rPr>
                <w:rFonts w:cs="Arial"/>
                <w:sz w:val="24"/>
                <w:szCs w:val="24"/>
              </w:rPr>
              <w:t xml:space="preserve"> – Portfolio Holder for Finance an</w:t>
            </w:r>
            <w:r w:rsidR="00CB57B1">
              <w:rPr>
                <w:rFonts w:cs="Arial"/>
                <w:sz w:val="24"/>
                <w:szCs w:val="24"/>
              </w:rPr>
              <w:t>d Human Resources</w:t>
            </w:r>
          </w:p>
        </w:tc>
      </w:tr>
      <w:tr w:rsidR="001C7E35" w14:paraId="62AA796E" w14:textId="77777777" w:rsidTr="004203E3">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191"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rsidTr="004203E3">
        <w:tc>
          <w:tcPr>
            <w:tcW w:w="3456" w:type="dxa"/>
          </w:tcPr>
          <w:p w14:paraId="6DF21A5A" w14:textId="77777777" w:rsidR="001C7E35" w:rsidRPr="00C13A5F" w:rsidRDefault="001C7E35" w:rsidP="00A53B04">
            <w:pPr>
              <w:pStyle w:val="BodyText"/>
              <w:rPr>
                <w:rFonts w:ascii="Arial Black" w:hAnsi="Arial Black"/>
              </w:rPr>
            </w:pPr>
          </w:p>
        </w:tc>
        <w:tc>
          <w:tcPr>
            <w:tcW w:w="5191" w:type="dxa"/>
          </w:tcPr>
          <w:p w14:paraId="565F77D1" w14:textId="77777777" w:rsidR="00714BEE" w:rsidRPr="005E3A10" w:rsidRDefault="00714BEE" w:rsidP="00D835CF">
            <w:pPr>
              <w:rPr>
                <w:rFonts w:cs="Arial"/>
                <w:szCs w:val="24"/>
              </w:rPr>
            </w:pPr>
          </w:p>
        </w:tc>
      </w:tr>
      <w:tr w:rsidR="001C7E35" w14:paraId="765FBCB1" w14:textId="77777777" w:rsidTr="004203E3">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191"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rsidTr="004203E3">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191" w:type="dxa"/>
          </w:tcPr>
          <w:p w14:paraId="3E1BCD63" w14:textId="5ED64D3C" w:rsidR="00864FBD" w:rsidRDefault="002B6A9B" w:rsidP="00DB6C3D">
            <w:pPr>
              <w:pStyle w:val="Infotext"/>
              <w:rPr>
                <w:color w:val="000000"/>
                <w:sz w:val="24"/>
                <w:szCs w:val="24"/>
              </w:rPr>
            </w:pPr>
            <w:r w:rsidRPr="002F3AF2">
              <w:rPr>
                <w:b/>
                <w:color w:val="000000"/>
                <w:sz w:val="24"/>
                <w:szCs w:val="24"/>
              </w:rPr>
              <w:t xml:space="preserve">Appendix </w:t>
            </w:r>
            <w:r w:rsidR="00B90F95" w:rsidRPr="002F3AF2">
              <w:rPr>
                <w:b/>
                <w:color w:val="000000"/>
                <w:sz w:val="24"/>
                <w:szCs w:val="24"/>
              </w:rPr>
              <w:t>1</w:t>
            </w:r>
            <w:r w:rsidR="00864FBD" w:rsidRPr="002F3AF2">
              <w:rPr>
                <w:b/>
                <w:color w:val="000000"/>
                <w:sz w:val="24"/>
                <w:szCs w:val="24"/>
              </w:rPr>
              <w:t>A</w:t>
            </w:r>
            <w:r w:rsidR="00864FBD" w:rsidRPr="002F3AF2">
              <w:rPr>
                <w:color w:val="000000"/>
                <w:sz w:val="24"/>
                <w:szCs w:val="24"/>
              </w:rPr>
              <w:t xml:space="preserve"> – </w:t>
            </w:r>
            <w:r w:rsidR="00911946">
              <w:rPr>
                <w:color w:val="000000"/>
                <w:sz w:val="24"/>
                <w:szCs w:val="24"/>
              </w:rPr>
              <w:t>S</w:t>
            </w:r>
            <w:r w:rsidR="00060886" w:rsidRPr="002F3AF2">
              <w:rPr>
                <w:color w:val="000000"/>
                <w:sz w:val="24"/>
                <w:szCs w:val="24"/>
              </w:rPr>
              <w:t xml:space="preserve">avings and </w:t>
            </w:r>
            <w:r w:rsidR="00911946">
              <w:rPr>
                <w:color w:val="000000"/>
                <w:sz w:val="24"/>
                <w:szCs w:val="24"/>
              </w:rPr>
              <w:t>Growth</w:t>
            </w:r>
            <w:r w:rsidR="00060886" w:rsidRPr="002F3AF2">
              <w:rPr>
                <w:color w:val="000000"/>
                <w:sz w:val="24"/>
                <w:szCs w:val="24"/>
              </w:rPr>
              <w:t xml:space="preserve"> from 202</w:t>
            </w:r>
            <w:r w:rsidR="007820DD">
              <w:rPr>
                <w:color w:val="000000"/>
                <w:sz w:val="24"/>
                <w:szCs w:val="24"/>
              </w:rPr>
              <w:t>4</w:t>
            </w:r>
            <w:r w:rsidR="00EF1B08">
              <w:rPr>
                <w:color w:val="000000"/>
                <w:sz w:val="24"/>
                <w:szCs w:val="24"/>
              </w:rPr>
              <w:t>/</w:t>
            </w:r>
            <w:r w:rsidR="00060886" w:rsidRPr="002F3AF2">
              <w:rPr>
                <w:color w:val="000000"/>
                <w:sz w:val="24"/>
                <w:szCs w:val="24"/>
              </w:rPr>
              <w:t>2</w:t>
            </w:r>
            <w:r w:rsidR="007820DD">
              <w:rPr>
                <w:color w:val="000000"/>
                <w:sz w:val="24"/>
                <w:szCs w:val="24"/>
              </w:rPr>
              <w:t>5</w:t>
            </w:r>
            <w:r w:rsidR="00060886" w:rsidRPr="002F3AF2">
              <w:rPr>
                <w:color w:val="000000"/>
                <w:sz w:val="24"/>
                <w:szCs w:val="24"/>
              </w:rPr>
              <w:t xml:space="preserve"> </w:t>
            </w:r>
            <w:r w:rsidR="00EC2668" w:rsidRPr="002F3AF2">
              <w:rPr>
                <w:color w:val="000000"/>
                <w:sz w:val="24"/>
                <w:szCs w:val="24"/>
              </w:rPr>
              <w:t>Budget Process</w:t>
            </w:r>
          </w:p>
          <w:p w14:paraId="55F47374" w14:textId="5227D738" w:rsidR="00911946" w:rsidRPr="002F3AF2" w:rsidRDefault="00911946" w:rsidP="00DB6C3D">
            <w:pPr>
              <w:pStyle w:val="Infotext"/>
              <w:rPr>
                <w:color w:val="000000"/>
                <w:sz w:val="24"/>
                <w:szCs w:val="24"/>
              </w:rPr>
            </w:pPr>
            <w:r w:rsidRPr="00911946">
              <w:rPr>
                <w:b/>
                <w:bCs/>
                <w:color w:val="000000"/>
                <w:sz w:val="24"/>
                <w:szCs w:val="24"/>
              </w:rPr>
              <w:t>Appendix 1B</w:t>
            </w:r>
            <w:r>
              <w:rPr>
                <w:color w:val="000000"/>
                <w:sz w:val="24"/>
                <w:szCs w:val="24"/>
              </w:rPr>
              <w:t xml:space="preserve"> – Savings and Growth from 202</w:t>
            </w:r>
            <w:r w:rsidR="007820DD">
              <w:rPr>
                <w:color w:val="000000"/>
                <w:sz w:val="24"/>
                <w:szCs w:val="24"/>
              </w:rPr>
              <w:t>3</w:t>
            </w:r>
            <w:r>
              <w:rPr>
                <w:color w:val="000000"/>
                <w:sz w:val="24"/>
                <w:szCs w:val="24"/>
              </w:rPr>
              <w:t>/2</w:t>
            </w:r>
            <w:r w:rsidR="007820DD">
              <w:rPr>
                <w:color w:val="000000"/>
                <w:sz w:val="24"/>
                <w:szCs w:val="24"/>
              </w:rPr>
              <w:t>4</w:t>
            </w:r>
            <w:r>
              <w:rPr>
                <w:color w:val="000000"/>
                <w:sz w:val="24"/>
                <w:szCs w:val="24"/>
              </w:rPr>
              <w:t xml:space="preserve"> Budget Process</w:t>
            </w:r>
          </w:p>
          <w:p w14:paraId="6083FE07" w14:textId="1251A3F0" w:rsidR="002B6A9B" w:rsidRPr="00F14862" w:rsidRDefault="002B6A9B" w:rsidP="00DB6C3D">
            <w:pPr>
              <w:pStyle w:val="Infotext"/>
              <w:rPr>
                <w:color w:val="000000"/>
                <w:sz w:val="24"/>
                <w:szCs w:val="24"/>
              </w:rPr>
            </w:pPr>
            <w:r w:rsidRPr="00F14862">
              <w:rPr>
                <w:b/>
                <w:color w:val="000000"/>
                <w:sz w:val="24"/>
                <w:szCs w:val="24"/>
              </w:rPr>
              <w:t xml:space="preserve">Appendix </w:t>
            </w:r>
            <w:r w:rsidR="008454C8" w:rsidRPr="00F14862">
              <w:rPr>
                <w:b/>
                <w:color w:val="000000"/>
                <w:sz w:val="24"/>
                <w:szCs w:val="24"/>
              </w:rPr>
              <w:t>2</w:t>
            </w:r>
            <w:r w:rsidR="008454C8" w:rsidRPr="00F14862">
              <w:rPr>
                <w:color w:val="000000"/>
                <w:sz w:val="24"/>
                <w:szCs w:val="24"/>
              </w:rPr>
              <w:t xml:space="preserve"> </w:t>
            </w:r>
            <w:r w:rsidR="00864FBD" w:rsidRPr="00F14862">
              <w:rPr>
                <w:color w:val="000000"/>
                <w:sz w:val="24"/>
                <w:szCs w:val="24"/>
              </w:rPr>
              <w:t xml:space="preserve">- </w:t>
            </w:r>
            <w:r w:rsidR="008454C8" w:rsidRPr="00F14862">
              <w:rPr>
                <w:color w:val="000000"/>
                <w:sz w:val="24"/>
                <w:szCs w:val="24"/>
              </w:rPr>
              <w:t>Medium Term Finan</w:t>
            </w:r>
            <w:r w:rsidR="00F61AB2" w:rsidRPr="00F14862">
              <w:rPr>
                <w:color w:val="000000"/>
                <w:sz w:val="24"/>
                <w:szCs w:val="24"/>
              </w:rPr>
              <w:t xml:space="preserve">cial </w:t>
            </w:r>
            <w:r w:rsidR="00FC2F75" w:rsidRPr="00F14862">
              <w:rPr>
                <w:color w:val="000000"/>
                <w:sz w:val="24"/>
                <w:szCs w:val="24"/>
              </w:rPr>
              <w:t>Strategy</w:t>
            </w:r>
            <w:r w:rsidR="00F61AB2" w:rsidRPr="00F14862">
              <w:rPr>
                <w:color w:val="000000"/>
                <w:sz w:val="24"/>
                <w:szCs w:val="24"/>
              </w:rPr>
              <w:t xml:space="preserve"> 20</w:t>
            </w:r>
            <w:r w:rsidR="00E5160D" w:rsidRPr="00F14862">
              <w:rPr>
                <w:color w:val="000000"/>
                <w:sz w:val="24"/>
                <w:szCs w:val="24"/>
              </w:rPr>
              <w:t>2</w:t>
            </w:r>
            <w:r w:rsidR="007820DD">
              <w:rPr>
                <w:color w:val="000000"/>
                <w:sz w:val="24"/>
                <w:szCs w:val="24"/>
              </w:rPr>
              <w:t>4</w:t>
            </w:r>
            <w:r w:rsidR="00F87325" w:rsidRPr="00F14862">
              <w:rPr>
                <w:color w:val="000000"/>
                <w:sz w:val="24"/>
                <w:szCs w:val="24"/>
              </w:rPr>
              <w:t>/</w:t>
            </w:r>
            <w:r w:rsidR="004D5125" w:rsidRPr="00F14862">
              <w:rPr>
                <w:color w:val="000000"/>
                <w:sz w:val="24"/>
                <w:szCs w:val="24"/>
              </w:rPr>
              <w:t>2</w:t>
            </w:r>
            <w:r w:rsidR="007820DD">
              <w:rPr>
                <w:color w:val="000000"/>
                <w:sz w:val="24"/>
                <w:szCs w:val="24"/>
              </w:rPr>
              <w:t>5</w:t>
            </w:r>
            <w:r w:rsidR="00F61AB2" w:rsidRPr="00F14862">
              <w:rPr>
                <w:color w:val="000000"/>
                <w:sz w:val="24"/>
                <w:szCs w:val="24"/>
              </w:rPr>
              <w:t xml:space="preserve"> to 20</w:t>
            </w:r>
            <w:r w:rsidR="00060886" w:rsidRPr="00F14862">
              <w:rPr>
                <w:color w:val="000000"/>
                <w:sz w:val="24"/>
                <w:szCs w:val="24"/>
              </w:rPr>
              <w:t>2</w:t>
            </w:r>
            <w:r w:rsidR="007820DD">
              <w:rPr>
                <w:color w:val="000000"/>
                <w:sz w:val="24"/>
                <w:szCs w:val="24"/>
              </w:rPr>
              <w:t>6</w:t>
            </w:r>
            <w:r w:rsidR="00415476" w:rsidRPr="00F14862">
              <w:rPr>
                <w:color w:val="000000"/>
                <w:sz w:val="24"/>
                <w:szCs w:val="24"/>
              </w:rPr>
              <w:t>/</w:t>
            </w:r>
            <w:r w:rsidR="00E5160D" w:rsidRPr="00F14862">
              <w:rPr>
                <w:color w:val="000000"/>
                <w:sz w:val="24"/>
                <w:szCs w:val="24"/>
              </w:rPr>
              <w:t>2</w:t>
            </w:r>
            <w:r w:rsidR="007820DD">
              <w:rPr>
                <w:color w:val="000000"/>
                <w:sz w:val="24"/>
                <w:szCs w:val="24"/>
              </w:rPr>
              <w:t>7</w:t>
            </w:r>
            <w:r w:rsidR="005B7885" w:rsidRPr="00F14862">
              <w:rPr>
                <w:color w:val="000000"/>
                <w:sz w:val="24"/>
                <w:szCs w:val="24"/>
              </w:rPr>
              <w:t xml:space="preserve"> </w:t>
            </w:r>
            <w:r w:rsidR="00775987" w:rsidRPr="00F14862">
              <w:rPr>
                <w:color w:val="000000"/>
                <w:sz w:val="24"/>
                <w:szCs w:val="24"/>
              </w:rPr>
              <w:t xml:space="preserve"> </w:t>
            </w:r>
          </w:p>
          <w:p w14:paraId="42B53A18" w14:textId="7C46087C" w:rsidR="00111EDE" w:rsidRPr="00F14862" w:rsidRDefault="00111EDE" w:rsidP="00DB6C3D">
            <w:pPr>
              <w:pStyle w:val="Infotext"/>
              <w:rPr>
                <w:color w:val="000000"/>
                <w:sz w:val="24"/>
                <w:szCs w:val="24"/>
              </w:rPr>
            </w:pPr>
            <w:bookmarkStart w:id="0" w:name="_Hlk88408061"/>
            <w:r w:rsidRPr="00F14862">
              <w:rPr>
                <w:b/>
                <w:color w:val="000000"/>
                <w:sz w:val="24"/>
                <w:szCs w:val="24"/>
              </w:rPr>
              <w:t xml:space="preserve">Appendix </w:t>
            </w:r>
            <w:r w:rsidR="00295881" w:rsidRPr="00F14862">
              <w:rPr>
                <w:b/>
                <w:color w:val="000000"/>
                <w:sz w:val="24"/>
                <w:szCs w:val="24"/>
              </w:rPr>
              <w:t>3</w:t>
            </w:r>
            <w:r w:rsidRPr="00F14862">
              <w:rPr>
                <w:color w:val="000000"/>
                <w:sz w:val="24"/>
                <w:szCs w:val="24"/>
              </w:rPr>
              <w:t xml:space="preserve"> </w:t>
            </w:r>
            <w:r w:rsidR="00F14862" w:rsidRPr="00F14862">
              <w:rPr>
                <w:color w:val="000000"/>
                <w:sz w:val="24"/>
                <w:szCs w:val="24"/>
              </w:rPr>
              <w:t>–</w:t>
            </w:r>
            <w:r w:rsidR="00864FBD" w:rsidRPr="00F14862">
              <w:rPr>
                <w:color w:val="000000"/>
                <w:sz w:val="24"/>
                <w:szCs w:val="24"/>
              </w:rPr>
              <w:t xml:space="preserve"> </w:t>
            </w:r>
            <w:bookmarkStart w:id="1" w:name="_Hlk89164399"/>
            <w:r w:rsidR="00F14862" w:rsidRPr="00F14862">
              <w:rPr>
                <w:color w:val="000000"/>
                <w:sz w:val="24"/>
                <w:szCs w:val="24"/>
              </w:rPr>
              <w:t xml:space="preserve">Draft Public Health Budget </w:t>
            </w:r>
            <w:r w:rsidR="00F14862" w:rsidRPr="00F14862">
              <w:rPr>
                <w:color w:val="000000" w:themeColor="text1"/>
                <w:sz w:val="24"/>
                <w:szCs w:val="24"/>
              </w:rPr>
              <w:t>202</w:t>
            </w:r>
            <w:r w:rsidR="007820DD">
              <w:rPr>
                <w:color w:val="000000" w:themeColor="text1"/>
                <w:sz w:val="24"/>
                <w:szCs w:val="24"/>
              </w:rPr>
              <w:t>4</w:t>
            </w:r>
            <w:r w:rsidR="00E5160D" w:rsidRPr="00F14862">
              <w:rPr>
                <w:color w:val="000000" w:themeColor="text1"/>
                <w:sz w:val="24"/>
                <w:szCs w:val="24"/>
              </w:rPr>
              <w:t>/2</w:t>
            </w:r>
            <w:bookmarkEnd w:id="1"/>
            <w:r w:rsidR="007820DD">
              <w:rPr>
                <w:color w:val="000000" w:themeColor="text1"/>
                <w:sz w:val="24"/>
                <w:szCs w:val="24"/>
              </w:rPr>
              <w:t>5</w:t>
            </w:r>
          </w:p>
          <w:p w14:paraId="3D82859B" w14:textId="616FD601" w:rsidR="000C3AF6" w:rsidRPr="00F14862" w:rsidRDefault="00111EDE" w:rsidP="00DB6C3D">
            <w:pPr>
              <w:pStyle w:val="Infotext"/>
              <w:rPr>
                <w:color w:val="000000"/>
                <w:sz w:val="24"/>
                <w:szCs w:val="24"/>
              </w:rPr>
            </w:pPr>
            <w:r w:rsidRPr="00F14862">
              <w:rPr>
                <w:b/>
                <w:color w:val="000000"/>
                <w:sz w:val="24"/>
                <w:szCs w:val="24"/>
              </w:rPr>
              <w:t xml:space="preserve">Appendix </w:t>
            </w:r>
            <w:r w:rsidR="00295881" w:rsidRPr="00F14862">
              <w:rPr>
                <w:b/>
                <w:color w:val="000000"/>
                <w:sz w:val="24"/>
                <w:szCs w:val="24"/>
              </w:rPr>
              <w:t>4</w:t>
            </w:r>
            <w:r w:rsidRPr="00F14862">
              <w:rPr>
                <w:color w:val="000000"/>
                <w:sz w:val="24"/>
                <w:szCs w:val="24"/>
              </w:rPr>
              <w:t xml:space="preserve"> </w:t>
            </w:r>
            <w:r w:rsidR="00864FBD" w:rsidRPr="00F14862">
              <w:rPr>
                <w:color w:val="000000"/>
                <w:sz w:val="24"/>
                <w:szCs w:val="24"/>
              </w:rPr>
              <w:t xml:space="preserve">- </w:t>
            </w:r>
            <w:r w:rsidR="00FB1E68" w:rsidRPr="00F14862">
              <w:rPr>
                <w:color w:val="000000"/>
                <w:sz w:val="24"/>
                <w:szCs w:val="24"/>
              </w:rPr>
              <w:t xml:space="preserve">Draft </w:t>
            </w:r>
            <w:r w:rsidR="00F14862" w:rsidRPr="00F14862">
              <w:rPr>
                <w:color w:val="000000"/>
                <w:sz w:val="24"/>
                <w:szCs w:val="24"/>
              </w:rPr>
              <w:t>Schools Budget 202</w:t>
            </w:r>
            <w:r w:rsidR="007820DD">
              <w:rPr>
                <w:color w:val="000000"/>
                <w:sz w:val="24"/>
                <w:szCs w:val="24"/>
              </w:rPr>
              <w:t>4</w:t>
            </w:r>
            <w:r w:rsidR="00E5160D" w:rsidRPr="00F14862">
              <w:rPr>
                <w:color w:val="000000"/>
                <w:sz w:val="24"/>
                <w:szCs w:val="24"/>
              </w:rPr>
              <w:t>/2</w:t>
            </w:r>
            <w:r w:rsidR="007820DD">
              <w:rPr>
                <w:color w:val="000000"/>
                <w:sz w:val="24"/>
                <w:szCs w:val="24"/>
              </w:rPr>
              <w:t>5</w:t>
            </w:r>
          </w:p>
          <w:p w14:paraId="2592C6F3" w14:textId="279EBD61" w:rsidR="00CB57B1" w:rsidRPr="00CB57B1" w:rsidRDefault="00CB57B1" w:rsidP="00DB6C3D">
            <w:pPr>
              <w:pStyle w:val="Infotext"/>
              <w:rPr>
                <w:b/>
                <w:bCs/>
                <w:color w:val="FF0000"/>
                <w:sz w:val="24"/>
                <w:szCs w:val="24"/>
              </w:rPr>
            </w:pPr>
          </w:p>
          <w:bookmarkEnd w:id="0"/>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385D9C83" w14:textId="77777777"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p w14:paraId="4894905C" w14:textId="02D15B2F" w:rsidR="007218EF" w:rsidRDefault="007218EF" w:rsidP="007218EF">
      <w:pPr>
        <w:pStyle w:val="Heading1"/>
      </w:pPr>
      <w:r>
        <w:lastRenderedPageBreak/>
        <w:t>Section 1 – Summary and Recommendations</w:t>
      </w:r>
    </w:p>
    <w:p w14:paraId="34A3C2C3" w14:textId="09737E86" w:rsidR="007218EF" w:rsidRDefault="007218EF" w:rsidP="007218EF"/>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7218EF" w:rsidRPr="00AC5267" w14:paraId="4227F5E6" w14:textId="77777777" w:rsidTr="007218EF">
        <w:tc>
          <w:tcPr>
            <w:tcW w:w="8647" w:type="dxa"/>
          </w:tcPr>
          <w:p w14:paraId="335C1B8D" w14:textId="77777777" w:rsidR="007218EF" w:rsidRDefault="007218EF" w:rsidP="007218EF">
            <w:pPr>
              <w:jc w:val="both"/>
            </w:pPr>
          </w:p>
          <w:p w14:paraId="6B0AFE50" w14:textId="73CDA5BC" w:rsidR="007218EF" w:rsidRDefault="007218EF" w:rsidP="007218EF">
            <w:pPr>
              <w:jc w:val="both"/>
            </w:pPr>
            <w:r>
              <w:t xml:space="preserve">The Forum is requested to note the report detailing Harrow Council’s </w:t>
            </w:r>
            <w:r w:rsidRPr="007218EF">
              <w:t>Draft Revenue Budget 2024/25 and draft Medium Term Financial Strategy to 2026/27</w:t>
            </w:r>
            <w:r>
              <w:t xml:space="preserve">, as reported to the Council’s Cabinet on 19 December 2023. </w:t>
            </w:r>
          </w:p>
          <w:p w14:paraId="1FCB21D9" w14:textId="77777777" w:rsidR="007218EF" w:rsidRDefault="007218EF" w:rsidP="00751DFA">
            <w:pPr>
              <w:ind w:left="709"/>
              <w:jc w:val="both"/>
            </w:pPr>
          </w:p>
          <w:p w14:paraId="457D525D" w14:textId="77777777" w:rsidR="007218EF" w:rsidRDefault="007218EF" w:rsidP="007218EF">
            <w:pPr>
              <w:jc w:val="both"/>
            </w:pPr>
            <w:r>
              <w:t>The budget and MTFS will return to Cabinet on 15 February 2024 for final approval and recommendation to Council. The Forum’s comments will be submitted to Cabinet for consideration.</w:t>
            </w:r>
          </w:p>
          <w:p w14:paraId="4EDE5321" w14:textId="10F9429E" w:rsidR="007218EF" w:rsidRPr="006C181F" w:rsidRDefault="007218EF" w:rsidP="007218EF">
            <w:pPr>
              <w:jc w:val="both"/>
            </w:pPr>
          </w:p>
        </w:tc>
      </w:tr>
    </w:tbl>
    <w:p w14:paraId="2EC99054" w14:textId="05B2C275" w:rsidR="007218EF" w:rsidRDefault="007218EF" w:rsidP="007218EF"/>
    <w:p w14:paraId="0A36545E" w14:textId="55238318"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053BA5A0" w14:textId="5C28B5E0" w:rsidR="00396489" w:rsidRPr="004B7477" w:rsidRDefault="00537D89" w:rsidP="004B7477">
      <w:pPr>
        <w:pStyle w:val="Heading2"/>
        <w:ind w:firstLine="709"/>
        <w:rPr>
          <w:sz w:val="24"/>
          <w:szCs w:val="24"/>
        </w:rPr>
      </w:pPr>
      <w:r w:rsidRPr="00396489">
        <w:rPr>
          <w:sz w:val="24"/>
          <w:szCs w:val="24"/>
        </w:rPr>
        <w:t>BACKGROUND</w:t>
      </w:r>
      <w:r w:rsidR="0085527F" w:rsidRPr="00396489">
        <w:rPr>
          <w:sz w:val="24"/>
          <w:szCs w:val="24"/>
        </w:rPr>
        <w:t xml:space="preserve"> </w:t>
      </w:r>
    </w:p>
    <w:p w14:paraId="29F81E0A" w14:textId="77777777" w:rsidR="00396489" w:rsidRDefault="00396489" w:rsidP="00396489">
      <w:pPr>
        <w:ind w:left="709" w:hanging="709"/>
        <w:jc w:val="both"/>
      </w:pPr>
    </w:p>
    <w:p w14:paraId="02E5540B" w14:textId="0A9C1D8B" w:rsidR="009105AD" w:rsidRDefault="00F14377" w:rsidP="000A7631">
      <w:pPr>
        <w:pStyle w:val="ListParagraph"/>
        <w:numPr>
          <w:ilvl w:val="1"/>
          <w:numId w:val="22"/>
        </w:numPr>
        <w:jc w:val="both"/>
      </w:pPr>
      <w:r w:rsidRPr="00396489">
        <w:t>Harrow remains one of the lowest funded Council</w:t>
      </w:r>
      <w:r w:rsidR="00482163" w:rsidRPr="00396489">
        <w:t xml:space="preserve">s </w:t>
      </w:r>
      <w:r w:rsidRPr="00396489">
        <w:t xml:space="preserve">both within London and nationally. </w:t>
      </w:r>
      <w:r w:rsidR="004B7477">
        <w:t>The Council does not benefit from large reserves compared with the rest of London and is in the lower end of the lower quartile</w:t>
      </w:r>
      <w:r w:rsidR="009E755A">
        <w:t xml:space="preserve"> </w:t>
      </w:r>
      <w:r w:rsidR="00A83CAE">
        <w:t>f</w:t>
      </w:r>
      <w:r w:rsidR="009E755A">
        <w:t>or reserve balances held.</w:t>
      </w:r>
    </w:p>
    <w:p w14:paraId="7F0A73BB" w14:textId="77777777" w:rsidR="009105AD" w:rsidRDefault="009105AD" w:rsidP="000A7631">
      <w:pPr>
        <w:pStyle w:val="ListParagraph"/>
        <w:ind w:left="710"/>
        <w:jc w:val="both"/>
      </w:pPr>
    </w:p>
    <w:p w14:paraId="0EAE2FDA" w14:textId="5A93D25C" w:rsidR="009105AD" w:rsidRDefault="009105AD" w:rsidP="000A7631">
      <w:pPr>
        <w:pStyle w:val="ListParagraph"/>
        <w:numPr>
          <w:ilvl w:val="1"/>
          <w:numId w:val="22"/>
        </w:numPr>
        <w:jc w:val="both"/>
      </w:pPr>
      <w:r>
        <w:t xml:space="preserve">Over the past 10 years, the Council’s revenue support grant has reduced from £50.5m to £2m in 2023/24 and whilst the Council </w:t>
      </w:r>
      <w:r w:rsidRPr="009105AD">
        <w:t xml:space="preserve">does receive </w:t>
      </w:r>
      <w:r>
        <w:t xml:space="preserve">other </w:t>
      </w:r>
      <w:r w:rsidRPr="009105AD">
        <w:t>grant funding to support services</w:t>
      </w:r>
      <w:r>
        <w:t xml:space="preserve">, </w:t>
      </w:r>
      <w:r w:rsidRPr="009105AD">
        <w:t>these grants are all ring fenced to areas of activity and cannot be used to support the core budget, for example the Dedicated Schools Grant of £143m.</w:t>
      </w:r>
      <w:r>
        <w:t xml:space="preserve"> I</w:t>
      </w:r>
      <w:r w:rsidRPr="009105AD">
        <w:t>n 2023/24 th</w:t>
      </w:r>
      <w:r>
        <w:t>ese grants</w:t>
      </w:r>
      <w:r w:rsidRPr="009105AD">
        <w:t xml:space="preserve"> total £366m.</w:t>
      </w:r>
    </w:p>
    <w:p w14:paraId="3488E894" w14:textId="3733677E" w:rsidR="009105AD" w:rsidRPr="009105AD" w:rsidRDefault="009105AD" w:rsidP="000A7631">
      <w:pPr>
        <w:ind w:firstLine="130"/>
        <w:jc w:val="both"/>
      </w:pPr>
    </w:p>
    <w:p w14:paraId="2A736D62" w14:textId="375EBAD3" w:rsidR="00FD718E" w:rsidRDefault="00FD718E" w:rsidP="000A7631">
      <w:pPr>
        <w:numPr>
          <w:ilvl w:val="1"/>
          <w:numId w:val="22"/>
        </w:numPr>
        <w:jc w:val="both"/>
      </w:pPr>
      <w:r>
        <w:t xml:space="preserve">The </w:t>
      </w:r>
      <w:r w:rsidR="009105AD" w:rsidRPr="009105AD">
        <w:t xml:space="preserve">Council does not receive specific funding to meet demographic growth and demand led pressures.  </w:t>
      </w:r>
      <w:r w:rsidR="00C74DA7">
        <w:t>In addition</w:t>
      </w:r>
      <w:r w:rsidR="00C267F3">
        <w:t>,</w:t>
      </w:r>
      <w:r w:rsidR="00513B81">
        <w:t xml:space="preserve"> i</w:t>
      </w:r>
      <w:r w:rsidR="009105AD" w:rsidRPr="009105AD">
        <w:t>nflation has increas</w:t>
      </w:r>
      <w:r w:rsidR="009776EC">
        <w:t>ed</w:t>
      </w:r>
      <w:r w:rsidR="009105AD" w:rsidRPr="009105AD">
        <w:t xml:space="preserve"> </w:t>
      </w:r>
      <w:r w:rsidR="009776EC">
        <w:t>substantially,</w:t>
      </w:r>
      <w:r w:rsidR="009105AD" w:rsidRPr="009105AD">
        <w:t xml:space="preserve"> creating unfunded budget pressures</w:t>
      </w:r>
      <w:r>
        <w:t>.</w:t>
      </w:r>
    </w:p>
    <w:p w14:paraId="1975A940" w14:textId="51EAB3EC" w:rsidR="000E13D3" w:rsidRDefault="000E13D3" w:rsidP="000A7631">
      <w:pPr>
        <w:ind w:left="709" w:hanging="709"/>
        <w:jc w:val="both"/>
      </w:pPr>
    </w:p>
    <w:p w14:paraId="52B370DA" w14:textId="02837680" w:rsidR="00FD718E" w:rsidRDefault="00FD718E" w:rsidP="00615C75">
      <w:pPr>
        <w:pStyle w:val="ListParagraph"/>
        <w:numPr>
          <w:ilvl w:val="1"/>
          <w:numId w:val="22"/>
        </w:numPr>
        <w:jc w:val="both"/>
      </w:pPr>
      <w:r>
        <w:t xml:space="preserve">In previous years, </w:t>
      </w:r>
      <w:r w:rsidR="004B7477">
        <w:t>Council Tax has be</w:t>
      </w:r>
      <w:r w:rsidR="009E755A">
        <w:t>en</w:t>
      </w:r>
      <w:r w:rsidR="004B7477">
        <w:t xml:space="preserve"> increased</w:t>
      </w:r>
      <w:r w:rsidR="00D304DC">
        <w:t xml:space="preserve"> to just</w:t>
      </w:r>
      <w:r w:rsidR="009E755A">
        <w:t xml:space="preserve"> </w:t>
      </w:r>
      <w:r w:rsidR="004B7477">
        <w:t>below referendum limits and full use has been made of t</w:t>
      </w:r>
      <w:r w:rsidR="009E755A">
        <w:t>he</w:t>
      </w:r>
      <w:r w:rsidR="004B7477">
        <w:t xml:space="preserve"> </w:t>
      </w:r>
      <w:r w:rsidR="009E755A">
        <w:t>Adults</w:t>
      </w:r>
      <w:r w:rsidR="004B7477">
        <w:t xml:space="preserve"> Social Care </w:t>
      </w:r>
      <w:r w:rsidR="0025240B">
        <w:t>Precept, both</w:t>
      </w:r>
      <w:r w:rsidR="004B7477">
        <w:t xml:space="preserve"> of which were in line with central government </w:t>
      </w:r>
      <w:r w:rsidR="009E755A">
        <w:t>expectations</w:t>
      </w:r>
      <w:r w:rsidR="004B7477">
        <w:t xml:space="preserve">. </w:t>
      </w:r>
      <w:r w:rsidR="009E755A">
        <w:t>The impact of this is that the Council is heavily reliant on Council Tax to fund its core budget. In 202</w:t>
      </w:r>
      <w:r w:rsidR="004D02FC">
        <w:t>3</w:t>
      </w:r>
      <w:r w:rsidR="009E755A">
        <w:t>/2</w:t>
      </w:r>
      <w:r w:rsidR="004D02FC">
        <w:t>4</w:t>
      </w:r>
      <w:r w:rsidR="009E755A">
        <w:t xml:space="preserve"> </w:t>
      </w:r>
      <w:r w:rsidR="00560EB4">
        <w:t xml:space="preserve">approximately </w:t>
      </w:r>
      <w:r w:rsidR="004D02FC">
        <w:t>78</w:t>
      </w:r>
      <w:r w:rsidR="009E755A">
        <w:t>% of the Council</w:t>
      </w:r>
      <w:r w:rsidR="0092265C">
        <w:t>’</w:t>
      </w:r>
      <w:r w:rsidR="009E755A">
        <w:t>s net revenue budget of £1</w:t>
      </w:r>
      <w:r w:rsidR="004D02FC">
        <w:t>96</w:t>
      </w:r>
      <w:r w:rsidR="009E755A">
        <w:t xml:space="preserve">.3m is funded from Council Tax.  </w:t>
      </w:r>
    </w:p>
    <w:p w14:paraId="080F119C" w14:textId="77777777" w:rsidR="000E13D3" w:rsidRDefault="000E13D3" w:rsidP="00FB2661">
      <w:pPr>
        <w:rPr>
          <w:b/>
        </w:rPr>
      </w:pPr>
    </w:p>
    <w:p w14:paraId="7D6679EA" w14:textId="17633AB9" w:rsidR="002B3253" w:rsidRDefault="00537D89" w:rsidP="004C5E49">
      <w:pPr>
        <w:ind w:firstLine="709"/>
        <w:rPr>
          <w:b/>
        </w:rPr>
      </w:pPr>
      <w:r>
        <w:rPr>
          <w:b/>
        </w:rPr>
        <w:t>SUMMARY</w:t>
      </w:r>
      <w:r w:rsidR="00CC673F">
        <w:rPr>
          <w:b/>
        </w:rPr>
        <w:t xml:space="preserve"> </w:t>
      </w:r>
    </w:p>
    <w:p w14:paraId="14D5D50E" w14:textId="77777777" w:rsidR="000C4226" w:rsidRDefault="000C4226" w:rsidP="004C5E49">
      <w:pPr>
        <w:ind w:firstLine="709"/>
        <w:rPr>
          <w:b/>
        </w:rPr>
      </w:pPr>
    </w:p>
    <w:p w14:paraId="571CBD18" w14:textId="5AFA564C" w:rsidR="00493049" w:rsidRDefault="00537D89" w:rsidP="000A7631">
      <w:pPr>
        <w:pStyle w:val="ListParagraph"/>
        <w:numPr>
          <w:ilvl w:val="1"/>
          <w:numId w:val="22"/>
        </w:numPr>
        <w:jc w:val="both"/>
      </w:pPr>
      <w:r w:rsidRPr="00C775D1">
        <w:t xml:space="preserve">The draft budget set out in this report shows an updated MTFS </w:t>
      </w:r>
      <w:r w:rsidR="00560EB4">
        <w:t xml:space="preserve">to the </w:t>
      </w:r>
      <w:r w:rsidR="0055378F">
        <w:t>figures agreed by Council in February 2023.</w:t>
      </w:r>
      <w:r w:rsidR="00FD718E">
        <w:t xml:space="preserve"> </w:t>
      </w:r>
      <w:r w:rsidR="0060726D">
        <w:t>After all adjustments</w:t>
      </w:r>
      <w:r w:rsidR="00F7352A">
        <w:t xml:space="preserve">, the budget for </w:t>
      </w:r>
      <w:r w:rsidR="00DA2FCC">
        <w:t>2024/25 is balanced, but</w:t>
      </w:r>
      <w:r w:rsidR="0060726D">
        <w:t xml:space="preserve"> there remain budget gaps of</w:t>
      </w:r>
      <w:r w:rsidR="00C267F3">
        <w:t xml:space="preserve"> </w:t>
      </w:r>
      <w:r w:rsidR="0060726D">
        <w:t>£</w:t>
      </w:r>
      <w:r w:rsidR="004D02FC">
        <w:t>12.</w:t>
      </w:r>
      <w:r w:rsidR="0055378F">
        <w:t>4</w:t>
      </w:r>
      <w:r w:rsidR="00C267F3">
        <w:t>66</w:t>
      </w:r>
      <w:r w:rsidR="00390097">
        <w:t>m</w:t>
      </w:r>
      <w:r w:rsidR="0060726D">
        <w:t xml:space="preserve"> and £</w:t>
      </w:r>
      <w:r w:rsidR="0055378F">
        <w:t>6.732</w:t>
      </w:r>
      <w:r w:rsidR="0060726D">
        <w:t>m over the t</w:t>
      </w:r>
      <w:r w:rsidR="003B1A11">
        <w:t>wo</w:t>
      </w:r>
      <w:r w:rsidR="0060726D">
        <w:t xml:space="preserve"> years of MTFS for 202</w:t>
      </w:r>
      <w:r w:rsidR="003B1A11">
        <w:t>5</w:t>
      </w:r>
      <w:r w:rsidR="0060726D">
        <w:t>/2</w:t>
      </w:r>
      <w:r w:rsidR="00C267F3">
        <w:t>6</w:t>
      </w:r>
      <w:r w:rsidR="0060726D">
        <w:t xml:space="preserve"> </w:t>
      </w:r>
      <w:r w:rsidR="00405447">
        <w:t>and</w:t>
      </w:r>
      <w:r w:rsidR="0060726D">
        <w:t xml:space="preserve"> 202</w:t>
      </w:r>
      <w:r w:rsidR="004D02FC">
        <w:t>6</w:t>
      </w:r>
      <w:r w:rsidR="0060726D">
        <w:t>/2</w:t>
      </w:r>
      <w:r w:rsidR="004D02FC">
        <w:t>7</w:t>
      </w:r>
      <w:r w:rsidR="0060726D" w:rsidRPr="0055378F">
        <w:t>.</w:t>
      </w:r>
      <w:r w:rsidR="0060726D">
        <w:t xml:space="preserve"> </w:t>
      </w:r>
    </w:p>
    <w:p w14:paraId="353E6D7E" w14:textId="77777777" w:rsidR="00493049" w:rsidRDefault="00493049" w:rsidP="002D369B">
      <w:pPr>
        <w:ind w:left="709" w:hanging="709"/>
        <w:jc w:val="both"/>
      </w:pPr>
    </w:p>
    <w:p w14:paraId="344BE042" w14:textId="53ECB209" w:rsidR="002D369B" w:rsidRDefault="00337357" w:rsidP="000A7631">
      <w:pPr>
        <w:pStyle w:val="ListParagraph"/>
        <w:numPr>
          <w:ilvl w:val="1"/>
          <w:numId w:val="22"/>
        </w:numPr>
        <w:jc w:val="both"/>
      </w:pPr>
      <w:r>
        <w:t>It</w:t>
      </w:r>
      <w:r w:rsidR="00A83CAE">
        <w:t xml:space="preserve"> i</w:t>
      </w:r>
      <w:r>
        <w:t>s important to note that for 202</w:t>
      </w:r>
      <w:r w:rsidR="0055378F">
        <w:t>5/26 and 2026</w:t>
      </w:r>
      <w:r>
        <w:t>/2</w:t>
      </w:r>
      <w:r w:rsidR="004D02FC">
        <w:t>7</w:t>
      </w:r>
      <w:r>
        <w:t xml:space="preserve">, </w:t>
      </w:r>
      <w:r w:rsidR="00405447">
        <w:t>many</w:t>
      </w:r>
      <w:r w:rsidR="0055378F">
        <w:t xml:space="preserve"> </w:t>
      </w:r>
      <w:r w:rsidR="00D304DC">
        <w:t>of t</w:t>
      </w:r>
      <w:r>
        <w:t>he budget adjustments are estimated at a high level due to the challenges of forecast</w:t>
      </w:r>
      <w:r w:rsidR="000C4462">
        <w:t>ing</w:t>
      </w:r>
      <w:r>
        <w:t xml:space="preserve"> complex issues such as</w:t>
      </w:r>
      <w:r w:rsidR="0060726D">
        <w:t xml:space="preserve"> inflation,</w:t>
      </w:r>
      <w:r>
        <w:t xml:space="preserve"> </w:t>
      </w:r>
      <w:r w:rsidR="00995E7B">
        <w:t>demand,</w:t>
      </w:r>
      <w:r>
        <w:t xml:space="preserve"> and demographics so far in </w:t>
      </w:r>
      <w:r w:rsidR="000C4462">
        <w:t>advance</w:t>
      </w:r>
      <w:r>
        <w:t>.  As the budget is approved annually</w:t>
      </w:r>
      <w:r w:rsidR="00A83CAE">
        <w:t>,</w:t>
      </w:r>
      <w:r>
        <w:t xml:space="preserve"> the latter two years of the MTFS will be subject to </w:t>
      </w:r>
      <w:r w:rsidR="0015307B">
        <w:t>substantive</w:t>
      </w:r>
      <w:r>
        <w:t xml:space="preserve"> review</w:t>
      </w:r>
      <w:r w:rsidR="00537D89">
        <w:t xml:space="preserve"> </w:t>
      </w:r>
      <w:r>
        <w:t xml:space="preserve">and adjustment before finally </w:t>
      </w:r>
      <w:r w:rsidR="000C4462">
        <w:t xml:space="preserve">being </w:t>
      </w:r>
      <w:r>
        <w:t xml:space="preserve">approved. </w:t>
      </w:r>
    </w:p>
    <w:p w14:paraId="0724C474" w14:textId="77777777" w:rsidR="002D369B" w:rsidRDefault="002D369B" w:rsidP="002D369B">
      <w:pPr>
        <w:ind w:left="709" w:hanging="709"/>
        <w:jc w:val="both"/>
      </w:pPr>
    </w:p>
    <w:p w14:paraId="5F601472" w14:textId="50CD7DFF" w:rsidR="00537D89" w:rsidRPr="002D369B" w:rsidRDefault="004C76A5" w:rsidP="000A7631">
      <w:pPr>
        <w:pStyle w:val="ListParagraph"/>
        <w:numPr>
          <w:ilvl w:val="1"/>
          <w:numId w:val="22"/>
        </w:numPr>
        <w:jc w:val="both"/>
      </w:pPr>
      <w:r>
        <w:t xml:space="preserve">The </w:t>
      </w:r>
      <w:r w:rsidR="00CC673F">
        <w:t xml:space="preserve">draft </w:t>
      </w:r>
      <w:r>
        <w:t xml:space="preserve">MTFS is based on the </w:t>
      </w:r>
      <w:r w:rsidR="0060726D">
        <w:t xml:space="preserve">announcements made </w:t>
      </w:r>
      <w:r w:rsidR="004D02FC">
        <w:t xml:space="preserve">as part of the 2023/24 Finance </w:t>
      </w:r>
      <w:r w:rsidR="003917CB">
        <w:t>S</w:t>
      </w:r>
      <w:r w:rsidR="004D02FC">
        <w:t xml:space="preserve">ettlement </w:t>
      </w:r>
      <w:r w:rsidR="0055378F">
        <w:t xml:space="preserve">(which covered 2023/24 and 2024/25) </w:t>
      </w:r>
      <w:r w:rsidR="002123E5">
        <w:t>and will be updated further once the detail of the 2024/25</w:t>
      </w:r>
      <w:r w:rsidR="00CC673F">
        <w:t xml:space="preserve"> Local Government </w:t>
      </w:r>
      <w:r w:rsidR="002123E5">
        <w:t xml:space="preserve">Provisional </w:t>
      </w:r>
      <w:r w:rsidR="00CC673F">
        <w:t xml:space="preserve">Financial Settlement </w:t>
      </w:r>
      <w:r w:rsidR="002123E5">
        <w:t>is known</w:t>
      </w:r>
      <w:r w:rsidR="003917CB">
        <w:t>,</w:t>
      </w:r>
      <w:r w:rsidR="002123E5">
        <w:t xml:space="preserve"> which is </w:t>
      </w:r>
      <w:r w:rsidR="00CC673F">
        <w:t xml:space="preserve">expected </w:t>
      </w:r>
      <w:r w:rsidR="002123E5">
        <w:t xml:space="preserve">to be announced on </w:t>
      </w:r>
      <w:r w:rsidR="00E54362">
        <w:t xml:space="preserve">19 </w:t>
      </w:r>
      <w:r w:rsidR="002343BC">
        <w:t>December</w:t>
      </w:r>
      <w:r w:rsidR="004D02FC">
        <w:t xml:space="preserve"> 2023</w:t>
      </w:r>
      <w:r w:rsidR="00CC673F">
        <w:t xml:space="preserve">. </w:t>
      </w:r>
      <w:r w:rsidR="00BE2291">
        <w:t xml:space="preserve"> </w:t>
      </w:r>
      <w:r w:rsidR="000C4462">
        <w:t>Estimates have been based on the most up to date information known at the time of setting the draft MTFS</w:t>
      </w:r>
      <w:r w:rsidR="002D369B">
        <w:t>.</w:t>
      </w:r>
      <w:r w:rsidR="002D369B" w:rsidRPr="00E770E1">
        <w:rPr>
          <w:rFonts w:cs="Arial"/>
          <w:color w:val="000000" w:themeColor="text1"/>
        </w:rPr>
        <w:t xml:space="preserve"> </w:t>
      </w:r>
      <w:r w:rsidR="000C4462">
        <w:t xml:space="preserve"> </w:t>
      </w:r>
      <w:r w:rsidR="00A83CAE">
        <w:t>It</w:t>
      </w:r>
      <w:r w:rsidR="000C4462">
        <w:t xml:space="preserve"> is likely this position will change following the indicative settlement</w:t>
      </w:r>
      <w:r w:rsidR="00831245">
        <w:t>.</w:t>
      </w:r>
      <w:r w:rsidR="000C4462">
        <w:t xml:space="preserve"> </w:t>
      </w:r>
      <w:r w:rsidR="00831245">
        <w:t>T</w:t>
      </w:r>
      <w:r w:rsidR="000C4462">
        <w:t xml:space="preserve">his change could be for the better or worse.  </w:t>
      </w:r>
      <w:r>
        <w:t>The</w:t>
      </w:r>
      <w:r w:rsidR="00537D89">
        <w:t xml:space="preserve"> final settlement </w:t>
      </w:r>
      <w:r w:rsidR="00CC673F">
        <w:t xml:space="preserve">is expected </w:t>
      </w:r>
      <w:r w:rsidR="002343BC">
        <w:t xml:space="preserve">to </w:t>
      </w:r>
      <w:r w:rsidR="00CC673F">
        <w:t>be</w:t>
      </w:r>
      <w:r w:rsidR="00537D89">
        <w:t xml:space="preserve"> agreed </w:t>
      </w:r>
      <w:r w:rsidR="00EA421C">
        <w:t xml:space="preserve">by </w:t>
      </w:r>
      <w:r w:rsidR="00537D89">
        <w:t>the end of January 20</w:t>
      </w:r>
      <w:r w:rsidR="00DA2963">
        <w:t>2</w:t>
      </w:r>
      <w:bookmarkStart w:id="2" w:name="_Hlk89109997"/>
      <w:r w:rsidR="00EA421C">
        <w:t>4</w:t>
      </w:r>
      <w:r w:rsidR="00537D89">
        <w:t>.</w:t>
      </w:r>
      <w:r w:rsidR="00DA2963">
        <w:t xml:space="preserve"> </w:t>
      </w:r>
      <w:bookmarkEnd w:id="2"/>
    </w:p>
    <w:p w14:paraId="5B33E669" w14:textId="247BD21F" w:rsidR="00D26312" w:rsidRDefault="00D26312" w:rsidP="0025240B">
      <w:pPr>
        <w:jc w:val="both"/>
      </w:pPr>
    </w:p>
    <w:p w14:paraId="03BE02C0" w14:textId="0865C3A7" w:rsidR="002123E5" w:rsidRDefault="002123E5" w:rsidP="0025240B">
      <w:pPr>
        <w:jc w:val="both"/>
      </w:pPr>
    </w:p>
    <w:p w14:paraId="430F8528" w14:textId="77777777" w:rsidR="00615C75" w:rsidRDefault="00615C75" w:rsidP="0025240B">
      <w:pPr>
        <w:jc w:val="both"/>
      </w:pPr>
    </w:p>
    <w:p w14:paraId="077B99DA" w14:textId="48125748" w:rsidR="001552BA" w:rsidRDefault="00D26312" w:rsidP="00D666A8">
      <w:pPr>
        <w:ind w:left="709" w:hanging="709"/>
        <w:jc w:val="both"/>
        <w:rPr>
          <w:rFonts w:cs="Arial"/>
          <w:b/>
          <w:bCs/>
          <w:color w:val="000000" w:themeColor="text1"/>
          <w:u w:val="single"/>
        </w:rPr>
      </w:pPr>
      <w:r>
        <w:tab/>
      </w:r>
      <w:r w:rsidR="00A962DB">
        <w:rPr>
          <w:b/>
          <w:bCs/>
        </w:rPr>
        <w:t xml:space="preserve">AUTUMN </w:t>
      </w:r>
      <w:r w:rsidR="00E54362">
        <w:rPr>
          <w:b/>
          <w:bCs/>
        </w:rPr>
        <w:t>STATEMENT</w:t>
      </w:r>
      <w:r w:rsidR="00A962DB">
        <w:rPr>
          <w:b/>
          <w:bCs/>
        </w:rPr>
        <w:t xml:space="preserve"> 202</w:t>
      </w:r>
      <w:r w:rsidR="003E3ED1">
        <w:rPr>
          <w:b/>
          <w:bCs/>
        </w:rPr>
        <w:t>3</w:t>
      </w:r>
    </w:p>
    <w:p w14:paraId="774702DC" w14:textId="77777777" w:rsidR="00F92C57" w:rsidRDefault="00F92C57" w:rsidP="00F91480">
      <w:pPr>
        <w:ind w:left="709"/>
        <w:jc w:val="both"/>
        <w:rPr>
          <w:rFonts w:cs="Arial"/>
          <w:b/>
          <w:bCs/>
          <w:color w:val="000000" w:themeColor="text1"/>
          <w:u w:val="single"/>
        </w:rPr>
      </w:pPr>
    </w:p>
    <w:p w14:paraId="5540771E" w14:textId="7C4DE5E9" w:rsidR="00493049" w:rsidRDefault="00493049" w:rsidP="000A7631">
      <w:pPr>
        <w:pStyle w:val="ListParagraph"/>
        <w:numPr>
          <w:ilvl w:val="1"/>
          <w:numId w:val="22"/>
        </w:numPr>
        <w:jc w:val="both"/>
      </w:pPr>
      <w:r>
        <w:t xml:space="preserve">The Chancellor of the Exchequer, Jeremy Hunt, delivered the 2023 Autumn Statement on 22nd November 2023. As well as the usual updates on the state of public finances and the performance of the economy, the Chancellor organised his policies into five key areas: reducing debt; cutting tax and rewarding hard work; backing British business; building domestic and sustainable energy; and delivering world-class education. </w:t>
      </w:r>
    </w:p>
    <w:p w14:paraId="1403FAAF" w14:textId="77777777" w:rsidR="00493049" w:rsidRDefault="00493049" w:rsidP="00D666A8">
      <w:pPr>
        <w:jc w:val="both"/>
      </w:pPr>
    </w:p>
    <w:p w14:paraId="00B527DE" w14:textId="2485855C" w:rsidR="00F91480" w:rsidRDefault="00493049" w:rsidP="000A7631">
      <w:pPr>
        <w:pStyle w:val="ListParagraph"/>
        <w:numPr>
          <w:ilvl w:val="1"/>
          <w:numId w:val="22"/>
        </w:numPr>
        <w:jc w:val="both"/>
      </w:pPr>
      <w:r>
        <w:t>The key policy announcements relating to public spending and local government are summarised below:</w:t>
      </w:r>
    </w:p>
    <w:p w14:paraId="331E5B54" w14:textId="4620F440" w:rsidR="00493049" w:rsidRDefault="00493049" w:rsidP="00493049">
      <w:pPr>
        <w:ind w:left="709"/>
        <w:jc w:val="both"/>
      </w:pPr>
    </w:p>
    <w:p w14:paraId="79471037" w14:textId="77777777" w:rsidR="00615C75" w:rsidRDefault="00615C75" w:rsidP="00493049">
      <w:pPr>
        <w:ind w:left="709"/>
        <w:jc w:val="both"/>
      </w:pPr>
    </w:p>
    <w:p w14:paraId="1860E40B" w14:textId="6DC036CA" w:rsidR="00493049" w:rsidRPr="00D666A8" w:rsidRDefault="00493049" w:rsidP="00D666A8">
      <w:pPr>
        <w:ind w:left="709"/>
        <w:jc w:val="both"/>
        <w:rPr>
          <w:rFonts w:cs="Arial"/>
          <w:b/>
          <w:bCs/>
          <w:color w:val="000000" w:themeColor="text1"/>
        </w:rPr>
      </w:pPr>
      <w:r>
        <w:rPr>
          <w:rFonts w:cs="Arial"/>
          <w:color w:val="000000" w:themeColor="text1"/>
        </w:rPr>
        <w:tab/>
      </w:r>
      <w:r>
        <w:rPr>
          <w:rFonts w:cs="Arial"/>
          <w:color w:val="000000" w:themeColor="text1"/>
        </w:rPr>
        <w:tab/>
      </w:r>
      <w:r w:rsidRPr="00D666A8">
        <w:rPr>
          <w:rFonts w:cs="Arial"/>
          <w:b/>
          <w:bCs/>
          <w:color w:val="000000" w:themeColor="text1"/>
        </w:rPr>
        <w:t>Local Government Funding</w:t>
      </w:r>
    </w:p>
    <w:p w14:paraId="0AF50E16" w14:textId="3F56F0FE" w:rsidR="00F24A46" w:rsidRDefault="00493049" w:rsidP="00537E00">
      <w:pPr>
        <w:pStyle w:val="ListParagraph"/>
        <w:numPr>
          <w:ilvl w:val="0"/>
          <w:numId w:val="7"/>
        </w:numPr>
        <w:jc w:val="both"/>
      </w:pPr>
      <w:r>
        <w:t>There was no new funding for 2024-25 for adult or children’s social care or any general local government funding, beyond what was announced last year.</w:t>
      </w:r>
    </w:p>
    <w:p w14:paraId="08996541" w14:textId="36460D6F" w:rsidR="00493049" w:rsidRDefault="00493049" w:rsidP="00D666A8">
      <w:pPr>
        <w:pStyle w:val="ListParagraph"/>
        <w:ind w:left="1440"/>
        <w:jc w:val="both"/>
      </w:pPr>
    </w:p>
    <w:p w14:paraId="387E341D" w14:textId="77777777" w:rsidR="00615C75" w:rsidRDefault="00615C75" w:rsidP="00D666A8">
      <w:pPr>
        <w:pStyle w:val="ListParagraph"/>
        <w:ind w:left="1440"/>
        <w:jc w:val="both"/>
      </w:pPr>
    </w:p>
    <w:p w14:paraId="64081375" w14:textId="6598EC1A" w:rsidR="00493049" w:rsidRPr="00D666A8" w:rsidRDefault="00493049" w:rsidP="00D666A8">
      <w:pPr>
        <w:pStyle w:val="ListParagraph"/>
        <w:ind w:left="1440"/>
        <w:jc w:val="both"/>
        <w:rPr>
          <w:b/>
          <w:bCs/>
        </w:rPr>
      </w:pPr>
      <w:r w:rsidRPr="00D666A8">
        <w:rPr>
          <w:b/>
          <w:bCs/>
        </w:rPr>
        <w:t>Housing and Homelessness</w:t>
      </w:r>
    </w:p>
    <w:p w14:paraId="251B9FD4" w14:textId="71849C1E" w:rsidR="00493049" w:rsidRDefault="00493049" w:rsidP="00537E00">
      <w:pPr>
        <w:pStyle w:val="ListParagraph"/>
        <w:numPr>
          <w:ilvl w:val="0"/>
          <w:numId w:val="7"/>
        </w:numPr>
        <w:jc w:val="both"/>
      </w:pPr>
      <w:r>
        <w:t>Local Housing Allowance rates will be raised to a level covering 30% of local market rents.</w:t>
      </w:r>
    </w:p>
    <w:p w14:paraId="61D135FD" w14:textId="3159EF9E" w:rsidR="00493049" w:rsidRDefault="00493049" w:rsidP="00537E00">
      <w:pPr>
        <w:pStyle w:val="ListParagraph"/>
        <w:numPr>
          <w:ilvl w:val="0"/>
          <w:numId w:val="7"/>
        </w:numPr>
        <w:jc w:val="both"/>
      </w:pPr>
      <w:r>
        <w:t xml:space="preserve"> Additional funding of £120m for homelessness prevention (UK-wide) in 2024-25</w:t>
      </w:r>
      <w:r w:rsidR="00D377C0">
        <w:t>.  The details of the allocations are not yet known and therefore the Harrow allocation is sti</w:t>
      </w:r>
      <w:r w:rsidR="00513B81">
        <w:t>l</w:t>
      </w:r>
      <w:r w:rsidR="00D377C0">
        <w:t>l to be confirmed.</w:t>
      </w:r>
      <w:r>
        <w:t xml:space="preserve">  </w:t>
      </w:r>
    </w:p>
    <w:p w14:paraId="21C1E345" w14:textId="624A4807" w:rsidR="00493049" w:rsidRDefault="00493049" w:rsidP="00537E00">
      <w:pPr>
        <w:pStyle w:val="ListParagraph"/>
        <w:numPr>
          <w:ilvl w:val="0"/>
          <w:numId w:val="7"/>
        </w:numPr>
        <w:jc w:val="both"/>
      </w:pPr>
      <w:r>
        <w:t xml:space="preserve">Local Authority Housing Fund to be extended with a third round worth £450m to deliver new housing units and temporary accommodation for Afghan refugees. </w:t>
      </w:r>
    </w:p>
    <w:p w14:paraId="18C00EE0" w14:textId="24BCAE8B" w:rsidR="00493049" w:rsidRDefault="00493049" w:rsidP="00537E00">
      <w:pPr>
        <w:pStyle w:val="ListParagraph"/>
        <w:numPr>
          <w:ilvl w:val="0"/>
          <w:numId w:val="7"/>
        </w:numPr>
        <w:jc w:val="both"/>
      </w:pPr>
      <w:r>
        <w:t xml:space="preserve">For the Housing Revenue Account, there is a rate extension of £5m to June 2025 of the Public Works Loan Board policy margin announced in Spring 2023. </w:t>
      </w:r>
    </w:p>
    <w:p w14:paraId="73D095CC" w14:textId="7D68A5C4" w:rsidR="00493049" w:rsidRDefault="00493049" w:rsidP="00537E00">
      <w:pPr>
        <w:pStyle w:val="ListParagraph"/>
        <w:numPr>
          <w:ilvl w:val="0"/>
          <w:numId w:val="7"/>
        </w:numPr>
        <w:jc w:val="both"/>
      </w:pPr>
      <w:r>
        <w:t xml:space="preserve">There are plans to allow local authorities to be able to fully recover the cost of planning fees for major planning applications if decisions are made within certain timelines. </w:t>
      </w:r>
    </w:p>
    <w:p w14:paraId="45F85B47" w14:textId="2FE23590" w:rsidR="00493049" w:rsidRDefault="00493049" w:rsidP="00537E00">
      <w:pPr>
        <w:pStyle w:val="ListParagraph"/>
        <w:numPr>
          <w:ilvl w:val="0"/>
          <w:numId w:val="7"/>
        </w:numPr>
        <w:jc w:val="both"/>
      </w:pPr>
      <w:r>
        <w:t>Local Planning Authorities to receive £32m to tackle planning backlogs.</w:t>
      </w:r>
    </w:p>
    <w:p w14:paraId="2E36A894" w14:textId="6FD53612" w:rsidR="00493049" w:rsidRDefault="00493049" w:rsidP="00493049">
      <w:pPr>
        <w:pStyle w:val="ListParagraph"/>
        <w:ind w:left="1440"/>
        <w:jc w:val="both"/>
        <w:rPr>
          <w:b/>
          <w:bCs/>
        </w:rPr>
      </w:pPr>
    </w:p>
    <w:p w14:paraId="61885490" w14:textId="77777777" w:rsidR="00615C75" w:rsidRDefault="00615C75" w:rsidP="00493049">
      <w:pPr>
        <w:pStyle w:val="ListParagraph"/>
        <w:ind w:left="1440"/>
        <w:jc w:val="both"/>
        <w:rPr>
          <w:b/>
          <w:bCs/>
        </w:rPr>
      </w:pPr>
    </w:p>
    <w:p w14:paraId="142D92C2" w14:textId="73A22371" w:rsidR="00493049" w:rsidRPr="00D666A8" w:rsidRDefault="00493049" w:rsidP="00D666A8">
      <w:pPr>
        <w:pStyle w:val="ListParagraph"/>
        <w:ind w:left="1440"/>
        <w:jc w:val="both"/>
        <w:rPr>
          <w:b/>
          <w:bCs/>
        </w:rPr>
      </w:pPr>
      <w:r w:rsidRPr="00D666A8">
        <w:rPr>
          <w:b/>
          <w:bCs/>
        </w:rPr>
        <w:t>Business Rates</w:t>
      </w:r>
    </w:p>
    <w:p w14:paraId="30C51A83" w14:textId="59496110" w:rsidR="00493049" w:rsidRDefault="00493049" w:rsidP="00537E00">
      <w:pPr>
        <w:pStyle w:val="ListParagraph"/>
        <w:numPr>
          <w:ilvl w:val="0"/>
          <w:numId w:val="7"/>
        </w:numPr>
        <w:jc w:val="both"/>
      </w:pPr>
      <w:r>
        <w:lastRenderedPageBreak/>
        <w:t xml:space="preserve">The standard business rate multiplier will be increased by September CPI (6.7%) and the small business rate multiplier will be frozen for a fourth consecutive year.  </w:t>
      </w:r>
    </w:p>
    <w:p w14:paraId="1028A205" w14:textId="6C17BDF2" w:rsidR="00493049" w:rsidRDefault="00493049" w:rsidP="00537E00">
      <w:pPr>
        <w:pStyle w:val="ListParagraph"/>
        <w:numPr>
          <w:ilvl w:val="0"/>
          <w:numId w:val="7"/>
        </w:numPr>
        <w:jc w:val="both"/>
      </w:pPr>
      <w:r>
        <w:t xml:space="preserve">The 75% Retail, Hospitality and Leisure relief will be extended for 2024-25. </w:t>
      </w:r>
    </w:p>
    <w:p w14:paraId="3CB91871" w14:textId="5CA04F4B" w:rsidR="00493049" w:rsidRDefault="00493049" w:rsidP="00493049">
      <w:pPr>
        <w:pStyle w:val="ListParagraph"/>
        <w:numPr>
          <w:ilvl w:val="0"/>
          <w:numId w:val="7"/>
        </w:numPr>
        <w:jc w:val="both"/>
      </w:pPr>
      <w:r>
        <w:t>Local authorities will be fully compensated for the loss of income because of these two measures and will receive new burdens funding for administrative and IT costs.</w:t>
      </w:r>
    </w:p>
    <w:p w14:paraId="209F25AC" w14:textId="7EE84F03" w:rsidR="00560EB4" w:rsidRDefault="00560EB4" w:rsidP="00493049">
      <w:pPr>
        <w:jc w:val="both"/>
      </w:pPr>
    </w:p>
    <w:p w14:paraId="312C3235" w14:textId="078EE882" w:rsidR="00615C75" w:rsidRDefault="00615C75" w:rsidP="00493049">
      <w:pPr>
        <w:jc w:val="both"/>
      </w:pPr>
    </w:p>
    <w:p w14:paraId="107A811F" w14:textId="46B83716" w:rsidR="00615C75" w:rsidRDefault="00615C75" w:rsidP="00493049">
      <w:pPr>
        <w:jc w:val="both"/>
      </w:pPr>
    </w:p>
    <w:p w14:paraId="24262302" w14:textId="6619B94C" w:rsidR="00615C75" w:rsidRDefault="00615C75" w:rsidP="00493049">
      <w:pPr>
        <w:jc w:val="both"/>
      </w:pPr>
    </w:p>
    <w:p w14:paraId="03E693F2" w14:textId="3FC65DA4" w:rsidR="00615C75" w:rsidRDefault="00615C75" w:rsidP="00493049">
      <w:pPr>
        <w:jc w:val="both"/>
      </w:pPr>
    </w:p>
    <w:p w14:paraId="3241E571" w14:textId="6E302425" w:rsidR="00493049" w:rsidRPr="00D666A8" w:rsidRDefault="00493049" w:rsidP="00D666A8">
      <w:pPr>
        <w:ind w:left="1440"/>
        <w:jc w:val="both"/>
        <w:rPr>
          <w:b/>
          <w:bCs/>
        </w:rPr>
      </w:pPr>
      <w:r w:rsidRPr="00D666A8">
        <w:rPr>
          <w:b/>
          <w:bCs/>
        </w:rPr>
        <w:t>Local Government Pension Schemes</w:t>
      </w:r>
    </w:p>
    <w:p w14:paraId="739FA213" w14:textId="56BA2742" w:rsidR="00493049" w:rsidRDefault="00493049" w:rsidP="00537E00">
      <w:pPr>
        <w:pStyle w:val="ListParagraph"/>
        <w:numPr>
          <w:ilvl w:val="0"/>
          <w:numId w:val="7"/>
        </w:numPr>
        <w:jc w:val="both"/>
      </w:pPr>
      <w:r>
        <w:t>Reforms</w:t>
      </w:r>
      <w:r w:rsidR="009073A0">
        <w:t xml:space="preserve"> are anticipated</w:t>
      </w:r>
      <w:r w:rsidR="00513B81">
        <w:t xml:space="preserve"> </w:t>
      </w:r>
      <w:r>
        <w:t>to the Local Government Pension Scheme, including confirmation of guidance that will implement a 10% allocation ambition for investments in private equity, and establish a March 2025 deadline for the accelerated consolidation of LGPS assets into pools.</w:t>
      </w:r>
    </w:p>
    <w:p w14:paraId="105C46C4" w14:textId="5CA21FBD" w:rsidR="00615C75" w:rsidRDefault="00615C75" w:rsidP="00493049">
      <w:pPr>
        <w:jc w:val="both"/>
      </w:pPr>
    </w:p>
    <w:p w14:paraId="52A88261" w14:textId="77777777" w:rsidR="00615C75" w:rsidRDefault="00615C75" w:rsidP="00493049">
      <w:pPr>
        <w:jc w:val="both"/>
      </w:pPr>
    </w:p>
    <w:p w14:paraId="1F8229C0" w14:textId="658AD911" w:rsidR="00493049" w:rsidRPr="00D666A8" w:rsidRDefault="00493049" w:rsidP="00D666A8">
      <w:pPr>
        <w:ind w:left="1440"/>
        <w:jc w:val="both"/>
        <w:rPr>
          <w:b/>
          <w:bCs/>
        </w:rPr>
      </w:pPr>
      <w:r w:rsidRPr="00D666A8">
        <w:rPr>
          <w:b/>
          <w:bCs/>
        </w:rPr>
        <w:t>National Living Wage and Benefits</w:t>
      </w:r>
    </w:p>
    <w:p w14:paraId="0C3D5FA6" w14:textId="3E80EC56" w:rsidR="00493049" w:rsidRDefault="00493049" w:rsidP="00537E00">
      <w:pPr>
        <w:pStyle w:val="ListParagraph"/>
        <w:numPr>
          <w:ilvl w:val="0"/>
          <w:numId w:val="7"/>
        </w:numPr>
        <w:jc w:val="both"/>
      </w:pPr>
      <w:r>
        <w:t xml:space="preserve">From April 2024, the National Living Wage will increase by 9.8% to £11.44 an hour and the age threshold </w:t>
      </w:r>
      <w:r w:rsidR="00B1106E">
        <w:t xml:space="preserve">lowered </w:t>
      </w:r>
      <w:r>
        <w:t xml:space="preserve">from 23 to 21 years old. </w:t>
      </w:r>
    </w:p>
    <w:p w14:paraId="3E112492" w14:textId="72F78584" w:rsidR="00493049" w:rsidRDefault="00493049" w:rsidP="00537E00">
      <w:pPr>
        <w:pStyle w:val="ListParagraph"/>
        <w:numPr>
          <w:ilvl w:val="0"/>
          <w:numId w:val="7"/>
        </w:numPr>
        <w:jc w:val="both"/>
      </w:pPr>
      <w:r>
        <w:t xml:space="preserve">The triple-lock for pensions will be </w:t>
      </w:r>
      <w:r w:rsidR="00B1106E">
        <w:t>continued</w:t>
      </w:r>
      <w:r>
        <w:t xml:space="preserve"> (an increase of 8.5%) and benefits will increase in line with the September CPI (6.7%).</w:t>
      </w:r>
    </w:p>
    <w:p w14:paraId="6437B156" w14:textId="516F76A3" w:rsidR="00A962DB" w:rsidRDefault="00A962DB" w:rsidP="00A962DB">
      <w:pPr>
        <w:pStyle w:val="ListParagraph"/>
        <w:rPr>
          <w:rFonts w:cs="Arial"/>
          <w:color w:val="000000" w:themeColor="text1"/>
        </w:rPr>
      </w:pPr>
    </w:p>
    <w:p w14:paraId="36842694" w14:textId="3A44B85D" w:rsidR="004A1F23" w:rsidRPr="000A7631" w:rsidRDefault="0055378F" w:rsidP="000A7631">
      <w:pPr>
        <w:pStyle w:val="ListParagraph"/>
        <w:numPr>
          <w:ilvl w:val="1"/>
          <w:numId w:val="22"/>
        </w:numPr>
        <w:jc w:val="both"/>
        <w:rPr>
          <w:rFonts w:cs="Arial"/>
          <w:color w:val="000000" w:themeColor="text1"/>
        </w:rPr>
      </w:pPr>
      <w:r w:rsidRPr="000A7631">
        <w:rPr>
          <w:rFonts w:cs="Arial"/>
          <w:color w:val="000000" w:themeColor="text1"/>
        </w:rPr>
        <w:t>There ha</w:t>
      </w:r>
      <w:r w:rsidR="00D2655F" w:rsidRPr="000A7631">
        <w:rPr>
          <w:rFonts w:cs="Arial"/>
          <w:color w:val="000000" w:themeColor="text1"/>
        </w:rPr>
        <w:t>ve</w:t>
      </w:r>
      <w:r w:rsidRPr="000A7631">
        <w:rPr>
          <w:rFonts w:cs="Arial"/>
          <w:color w:val="000000" w:themeColor="text1"/>
        </w:rPr>
        <w:t xml:space="preserve"> been no changes </w:t>
      </w:r>
      <w:r w:rsidR="00D2655F" w:rsidRPr="000A7631">
        <w:rPr>
          <w:rFonts w:cs="Arial"/>
          <w:color w:val="000000" w:themeColor="text1"/>
        </w:rPr>
        <w:t xml:space="preserve">made </w:t>
      </w:r>
      <w:r w:rsidRPr="000A7631">
        <w:rPr>
          <w:rFonts w:cs="Arial"/>
          <w:color w:val="000000" w:themeColor="text1"/>
        </w:rPr>
        <w:t xml:space="preserve">to the MTFS as a result of the Autumn Statement as the detail of any funding changes for 2024/25 will be </w:t>
      </w:r>
      <w:r w:rsidR="00D2655F" w:rsidRPr="000A7631">
        <w:rPr>
          <w:rFonts w:cs="Arial"/>
          <w:color w:val="000000" w:themeColor="text1"/>
        </w:rPr>
        <w:t>included</w:t>
      </w:r>
      <w:r w:rsidRPr="000A7631">
        <w:rPr>
          <w:rFonts w:cs="Arial"/>
          <w:color w:val="000000" w:themeColor="text1"/>
        </w:rPr>
        <w:t xml:space="preserve"> in the</w:t>
      </w:r>
      <w:r w:rsidR="00A1241D" w:rsidRPr="000A7631">
        <w:rPr>
          <w:rFonts w:cs="Arial"/>
          <w:color w:val="000000" w:themeColor="text1"/>
        </w:rPr>
        <w:t xml:space="preserve"> Financial Settlement for Local </w:t>
      </w:r>
      <w:r w:rsidR="00513B81" w:rsidRPr="000A7631">
        <w:rPr>
          <w:rFonts w:cs="Arial"/>
          <w:color w:val="000000" w:themeColor="text1"/>
        </w:rPr>
        <w:t>Government,</w:t>
      </w:r>
      <w:r w:rsidR="00A1241D" w:rsidRPr="000A7631">
        <w:rPr>
          <w:rFonts w:cs="Arial"/>
          <w:color w:val="000000" w:themeColor="text1"/>
        </w:rPr>
        <w:t xml:space="preserve"> </w:t>
      </w:r>
      <w:r w:rsidRPr="000A7631">
        <w:rPr>
          <w:rFonts w:cs="Arial"/>
          <w:color w:val="000000" w:themeColor="text1"/>
        </w:rPr>
        <w:t xml:space="preserve">which is </w:t>
      </w:r>
      <w:r w:rsidR="00A1241D" w:rsidRPr="000A7631">
        <w:rPr>
          <w:rFonts w:cs="Arial"/>
          <w:color w:val="000000" w:themeColor="text1"/>
        </w:rPr>
        <w:t xml:space="preserve">due </w:t>
      </w:r>
      <w:r w:rsidRPr="000A7631">
        <w:rPr>
          <w:rFonts w:cs="Arial"/>
          <w:color w:val="000000" w:themeColor="text1"/>
        </w:rPr>
        <w:t>around the</w:t>
      </w:r>
      <w:r w:rsidR="00A1241D" w:rsidRPr="000A7631">
        <w:rPr>
          <w:rFonts w:cs="Arial"/>
          <w:color w:val="000000" w:themeColor="text1"/>
        </w:rPr>
        <w:t xml:space="preserve"> 19 December</w:t>
      </w:r>
      <w:r w:rsidRPr="000A7631">
        <w:rPr>
          <w:rFonts w:cs="Arial"/>
          <w:color w:val="000000" w:themeColor="text1"/>
        </w:rPr>
        <w:t xml:space="preserve"> 2023</w:t>
      </w:r>
      <w:r w:rsidR="00B44F8F" w:rsidRPr="000A7631">
        <w:rPr>
          <w:rFonts w:cs="Arial"/>
          <w:color w:val="000000" w:themeColor="text1"/>
        </w:rPr>
        <w:t>, as indicated above.</w:t>
      </w:r>
      <w:r w:rsidR="00A1241D" w:rsidRPr="000A7631">
        <w:rPr>
          <w:rFonts w:cs="Arial"/>
          <w:color w:val="000000" w:themeColor="text1"/>
        </w:rPr>
        <w:t xml:space="preserve"> </w:t>
      </w:r>
      <w:r w:rsidR="00976F81" w:rsidRPr="000A7631">
        <w:rPr>
          <w:rFonts w:cs="Arial"/>
          <w:color w:val="000000" w:themeColor="text1"/>
        </w:rPr>
        <w:t xml:space="preserve"> </w:t>
      </w:r>
    </w:p>
    <w:p w14:paraId="02161FA3" w14:textId="5A94D23F" w:rsidR="00C540F1" w:rsidRDefault="00C540F1" w:rsidP="002B3253"/>
    <w:p w14:paraId="1A52A6C9" w14:textId="77777777" w:rsidR="00615C75" w:rsidRPr="00C775D1" w:rsidRDefault="00615C75" w:rsidP="002B3253"/>
    <w:p w14:paraId="115249C0" w14:textId="1F491D1D" w:rsidR="00F31A78" w:rsidRDefault="00134E18" w:rsidP="007E2F7F">
      <w:pPr>
        <w:rPr>
          <w:b/>
        </w:rPr>
      </w:pPr>
      <w:r>
        <w:rPr>
          <w:b/>
        </w:rPr>
        <w:tab/>
      </w:r>
      <w:r w:rsidR="00571C9C" w:rsidRPr="00C775D1">
        <w:rPr>
          <w:b/>
        </w:rPr>
        <w:t>D</w:t>
      </w:r>
      <w:r w:rsidR="0084190E" w:rsidRPr="00C775D1">
        <w:rPr>
          <w:b/>
        </w:rPr>
        <w:t>ELIVERY OF THE 20</w:t>
      </w:r>
      <w:r w:rsidR="00F31A78">
        <w:rPr>
          <w:b/>
        </w:rPr>
        <w:t>2</w:t>
      </w:r>
      <w:r w:rsidR="008B07CD">
        <w:rPr>
          <w:b/>
        </w:rPr>
        <w:t>3</w:t>
      </w:r>
      <w:r w:rsidR="00F31A78">
        <w:rPr>
          <w:b/>
        </w:rPr>
        <w:t>/2</w:t>
      </w:r>
      <w:r w:rsidR="008B07CD">
        <w:rPr>
          <w:b/>
        </w:rPr>
        <w:t>4</w:t>
      </w:r>
      <w:r w:rsidR="0084190E" w:rsidRPr="00C775D1">
        <w:rPr>
          <w:b/>
        </w:rPr>
        <w:t xml:space="preserve"> BUDGET </w:t>
      </w:r>
    </w:p>
    <w:p w14:paraId="35D3B975" w14:textId="77777777" w:rsidR="00154C50" w:rsidRPr="007E2F7F" w:rsidRDefault="00154C50" w:rsidP="007E2F7F">
      <w:pPr>
        <w:rPr>
          <w:b/>
        </w:rPr>
      </w:pPr>
    </w:p>
    <w:p w14:paraId="5FE8BB64" w14:textId="508F2D33" w:rsidR="00CB7002" w:rsidRDefault="008553AB" w:rsidP="000A7631">
      <w:pPr>
        <w:pStyle w:val="ListParagraph"/>
        <w:numPr>
          <w:ilvl w:val="1"/>
          <w:numId w:val="22"/>
        </w:numPr>
        <w:spacing w:after="240"/>
        <w:jc w:val="both"/>
      </w:pPr>
      <w:r>
        <w:t xml:space="preserve">Harrow has </w:t>
      </w:r>
      <w:r w:rsidR="00BD4795">
        <w:t xml:space="preserve">had </w:t>
      </w:r>
      <w:r>
        <w:t xml:space="preserve">a good track record of robust financial management and </w:t>
      </w:r>
      <w:r w:rsidR="00C24DE0">
        <w:t xml:space="preserve">has </w:t>
      </w:r>
      <w:r>
        <w:t>not report</w:t>
      </w:r>
      <w:r w:rsidR="00C24DE0">
        <w:t>ed</w:t>
      </w:r>
      <w:r>
        <w:t xml:space="preserve"> a revenue budget overspend for many years. </w:t>
      </w:r>
      <w:r w:rsidR="0055378F">
        <w:t xml:space="preserve">The </w:t>
      </w:r>
      <w:r w:rsidR="00BD4795">
        <w:t xml:space="preserve">budget for </w:t>
      </w:r>
      <w:r w:rsidR="008B07CD">
        <w:t>2022/23 was originally based on drawing down £14.7m of reserves to bring in a balanced position.  The final position for 2022/23 improved significantly</w:t>
      </w:r>
      <w:r w:rsidR="00497421">
        <w:t xml:space="preserve"> as a result of care</w:t>
      </w:r>
      <w:r w:rsidR="00B958AB">
        <w:t>ful control and oversight of budgets,</w:t>
      </w:r>
      <w:r w:rsidR="008B07CD">
        <w:t xml:space="preserve"> which meant that only £5.8m of reserves were needed </w:t>
      </w:r>
      <w:r w:rsidR="00560EB4">
        <w:t xml:space="preserve">(as opposed to £14.7m) </w:t>
      </w:r>
      <w:r w:rsidR="008B07CD">
        <w:t xml:space="preserve">to bring the budget into a balanced position.  </w:t>
      </w:r>
    </w:p>
    <w:p w14:paraId="1D039CE4" w14:textId="7667780D" w:rsidR="000A1235" w:rsidRDefault="00CB7002" w:rsidP="000A7631">
      <w:pPr>
        <w:pStyle w:val="ListParagraph"/>
        <w:numPr>
          <w:ilvl w:val="1"/>
          <w:numId w:val="22"/>
        </w:numPr>
        <w:spacing w:after="240"/>
        <w:jc w:val="both"/>
      </w:pPr>
      <w:r>
        <w:t>Performance against</w:t>
      </w:r>
      <w:r w:rsidR="007E2F7F">
        <w:t xml:space="preserve"> </w:t>
      </w:r>
      <w:r w:rsidR="00F31A78">
        <w:t xml:space="preserve">the </w:t>
      </w:r>
      <w:r w:rsidR="00560EB4">
        <w:t xml:space="preserve">current </w:t>
      </w:r>
      <w:r w:rsidR="00F31A78">
        <w:t>202</w:t>
      </w:r>
      <w:r w:rsidR="008B07CD">
        <w:t>3</w:t>
      </w:r>
      <w:r w:rsidR="00F31A78">
        <w:t>/2</w:t>
      </w:r>
      <w:r w:rsidR="008B07CD">
        <w:t>4</w:t>
      </w:r>
      <w:r w:rsidR="00F31A78">
        <w:t xml:space="preserve"> </w:t>
      </w:r>
      <w:r w:rsidR="00560EB4">
        <w:t xml:space="preserve">revenue </w:t>
      </w:r>
      <w:r w:rsidR="00F31A78">
        <w:t>budget is detailed in a separate report on this agenda, ‘</w:t>
      </w:r>
      <w:r>
        <w:t>Revenue and Capital Budget</w:t>
      </w:r>
      <w:r w:rsidR="00560EB4">
        <w:t xml:space="preserve"> Monitoring Report 2023-24 Q2</w:t>
      </w:r>
      <w:r>
        <w:t>’</w:t>
      </w:r>
      <w:r w:rsidR="00D13181">
        <w:t>.</w:t>
      </w:r>
      <w:r w:rsidR="00996D45">
        <w:t xml:space="preserve"> This report forecasts a net overspend</w:t>
      </w:r>
      <w:r>
        <w:t xml:space="preserve"> of £1</w:t>
      </w:r>
      <w:r w:rsidR="008B07CD">
        <w:t>.379m</w:t>
      </w:r>
      <w:r w:rsidR="000706E4">
        <w:t xml:space="preserve"> as at 30</w:t>
      </w:r>
      <w:r w:rsidR="000706E4" w:rsidRPr="00E770E1">
        <w:rPr>
          <w:vertAlign w:val="superscript"/>
        </w:rPr>
        <w:t>th</w:t>
      </w:r>
      <w:r w:rsidR="000706E4">
        <w:t xml:space="preserve"> September 2023.</w:t>
      </w:r>
      <w:r w:rsidR="008B07CD">
        <w:t xml:space="preserve">  If the position does not improve before year end it would be necessary to drawn down this amount from the </w:t>
      </w:r>
      <w:r w:rsidR="007E2F7F">
        <w:t>MTFS Budget Planning Reserve</w:t>
      </w:r>
      <w:r w:rsidR="008B07CD">
        <w:t xml:space="preserve"> to bring in a balanced position, but it is anticipated that 2023/24 can be balanced with no draw down from reserves other than those already built into the budget.</w:t>
      </w:r>
      <w:r w:rsidR="007E2F7F">
        <w:t xml:space="preserve"> </w:t>
      </w:r>
    </w:p>
    <w:p w14:paraId="4A6EE8CA" w14:textId="143D624A" w:rsidR="0098531C" w:rsidRDefault="000A1235" w:rsidP="000A7631">
      <w:pPr>
        <w:pStyle w:val="ListParagraph"/>
        <w:numPr>
          <w:ilvl w:val="1"/>
          <w:numId w:val="22"/>
        </w:numPr>
        <w:spacing w:after="240"/>
        <w:jc w:val="both"/>
      </w:pPr>
      <w:r>
        <w:t>In line with the national picture, the Council is being h</w:t>
      </w:r>
      <w:r w:rsidR="00447FD6">
        <w:t>eavily impacted</w:t>
      </w:r>
      <w:r w:rsidR="00003320">
        <w:t xml:space="preserve"> by</w:t>
      </w:r>
      <w:r>
        <w:t xml:space="preserve"> inflation. </w:t>
      </w:r>
      <w:r w:rsidR="001D2E29">
        <w:t>Budget provision for pay inflation was £</w:t>
      </w:r>
      <w:r w:rsidR="008B07CD">
        <w:t>4</w:t>
      </w:r>
      <w:r w:rsidR="001D2E29">
        <w:t>m (</w:t>
      </w:r>
      <w:r w:rsidR="008B07CD">
        <w:t>4</w:t>
      </w:r>
      <w:r w:rsidR="001D2E29">
        <w:t>%).  The 202</w:t>
      </w:r>
      <w:r w:rsidR="008B07CD">
        <w:t>3</w:t>
      </w:r>
      <w:r w:rsidR="001D2E29">
        <w:t>/2</w:t>
      </w:r>
      <w:r w:rsidR="008B07CD">
        <w:t>4</w:t>
      </w:r>
      <w:r w:rsidR="001D2E29">
        <w:t xml:space="preserve"> pay </w:t>
      </w:r>
      <w:r w:rsidR="001D2E29">
        <w:lastRenderedPageBreak/>
        <w:t>award has recently been announced</w:t>
      </w:r>
      <w:r w:rsidR="007E2F7F">
        <w:t xml:space="preserve"> and it equated to </w:t>
      </w:r>
      <w:r w:rsidR="001D2E29">
        <w:t xml:space="preserve">an increase of </w:t>
      </w:r>
      <w:r w:rsidR="00225964">
        <w:t>7</w:t>
      </w:r>
      <w:r w:rsidR="001D2E29">
        <w:t xml:space="preserve">% against the </w:t>
      </w:r>
      <w:r w:rsidR="007E2F7F">
        <w:t>pay bill</w:t>
      </w:r>
      <w:r w:rsidR="001D2E29">
        <w:t xml:space="preserve"> and </w:t>
      </w:r>
      <w:r w:rsidR="007E2F7F">
        <w:t>has</w:t>
      </w:r>
      <w:r w:rsidR="001D2E29">
        <w:t xml:space="preserve"> creating a</w:t>
      </w:r>
      <w:r w:rsidR="00225964">
        <w:t xml:space="preserve"> </w:t>
      </w:r>
      <w:r w:rsidR="007E2F7F">
        <w:t xml:space="preserve">budget </w:t>
      </w:r>
      <w:r w:rsidR="001D2E29">
        <w:t>pressure of £</w:t>
      </w:r>
      <w:r w:rsidR="00225964">
        <w:t>3.2</w:t>
      </w:r>
      <w:r w:rsidR="001D2E29">
        <w:t>m</w:t>
      </w:r>
      <w:r w:rsidR="00225964">
        <w:t xml:space="preserve">.  The bulk of this pressure has been funded from the general corporate budget and the </w:t>
      </w:r>
      <w:r w:rsidR="00513B81">
        <w:t>non-pay</w:t>
      </w:r>
      <w:r w:rsidR="00225964">
        <w:t xml:space="preserve"> inflation provision, but </w:t>
      </w:r>
      <w:r w:rsidR="000706E4">
        <w:t xml:space="preserve">still </w:t>
      </w:r>
      <w:r w:rsidR="00225964">
        <w:t>leaves an £800k shortfall to be carried forward into 2024/25.</w:t>
      </w:r>
    </w:p>
    <w:p w14:paraId="2996FAF1" w14:textId="61A86680" w:rsidR="00225964" w:rsidRDefault="00225964" w:rsidP="000A7631">
      <w:pPr>
        <w:pStyle w:val="ListParagraph"/>
        <w:numPr>
          <w:ilvl w:val="1"/>
          <w:numId w:val="22"/>
        </w:numPr>
        <w:spacing w:after="240"/>
        <w:jc w:val="both"/>
      </w:pPr>
      <w:r>
        <w:t xml:space="preserve">In addition, there are </w:t>
      </w:r>
      <w:r w:rsidR="00003320">
        <w:t xml:space="preserve">very substantial </w:t>
      </w:r>
      <w:r>
        <w:t>pressures on demand in adult services</w:t>
      </w:r>
      <w:r w:rsidR="00003320">
        <w:t>.</w:t>
      </w:r>
      <w:r>
        <w:t xml:space="preserve"> </w:t>
      </w:r>
      <w:r w:rsidR="00003320">
        <w:t>S</w:t>
      </w:r>
      <w:r>
        <w:t xml:space="preserve">uch is the scale of the demand, that across the 3 years of the MTFS from 2024/25 to 2026/27, a further £9.7m has been added in as a budget </w:t>
      </w:r>
      <w:r w:rsidR="009A6DA1">
        <w:t>growth</w:t>
      </w:r>
      <w:r w:rsidR="00267E72">
        <w:t>,</w:t>
      </w:r>
      <w:r>
        <w:t xml:space="preserve"> as set out in Table 1.</w:t>
      </w:r>
    </w:p>
    <w:p w14:paraId="5435D4D2" w14:textId="77777777" w:rsidR="00615C75" w:rsidRDefault="00615C75" w:rsidP="008056CF">
      <w:pPr>
        <w:ind w:firstLine="709"/>
        <w:rPr>
          <w:b/>
        </w:rPr>
      </w:pPr>
    </w:p>
    <w:p w14:paraId="436E0DFB" w14:textId="77777777" w:rsidR="00615C75" w:rsidRDefault="00615C75" w:rsidP="00615C75">
      <w:pPr>
        <w:ind w:firstLine="709"/>
        <w:rPr>
          <w:b/>
        </w:rPr>
      </w:pPr>
    </w:p>
    <w:p w14:paraId="4E307C48" w14:textId="46FF18FA" w:rsidR="00AD33D2" w:rsidRDefault="00C40E1F" w:rsidP="00615C75">
      <w:pPr>
        <w:ind w:firstLine="709"/>
        <w:rPr>
          <w:b/>
        </w:rPr>
      </w:pPr>
      <w:r w:rsidRPr="00C775D1">
        <w:rPr>
          <w:b/>
        </w:rPr>
        <w:t>B</w:t>
      </w:r>
      <w:r w:rsidR="0084190E" w:rsidRPr="00C775D1">
        <w:rPr>
          <w:b/>
        </w:rPr>
        <w:t>UDGET PROCESS</w:t>
      </w:r>
      <w:r w:rsidR="00B14D54">
        <w:rPr>
          <w:b/>
        </w:rPr>
        <w:t xml:space="preserve"> 20</w:t>
      </w:r>
      <w:r w:rsidR="004604EB">
        <w:rPr>
          <w:b/>
        </w:rPr>
        <w:t>2</w:t>
      </w:r>
      <w:r w:rsidR="00EF1B08">
        <w:rPr>
          <w:b/>
        </w:rPr>
        <w:t>4</w:t>
      </w:r>
      <w:r w:rsidR="00A962DB">
        <w:rPr>
          <w:b/>
        </w:rPr>
        <w:t>/2</w:t>
      </w:r>
      <w:r w:rsidR="00EF1B08">
        <w:rPr>
          <w:b/>
        </w:rPr>
        <w:t>5</w:t>
      </w:r>
    </w:p>
    <w:p w14:paraId="1832F761" w14:textId="77777777" w:rsidR="00967747" w:rsidRPr="00E00F63" w:rsidRDefault="00967747" w:rsidP="008056CF">
      <w:pPr>
        <w:ind w:firstLine="709"/>
        <w:rPr>
          <w:b/>
          <w:color w:val="FF0000"/>
        </w:rPr>
      </w:pPr>
    </w:p>
    <w:p w14:paraId="351CA92E" w14:textId="75285682" w:rsidR="0099214F" w:rsidRPr="00E770E1" w:rsidRDefault="0099214F" w:rsidP="000A7631">
      <w:pPr>
        <w:pStyle w:val="ListParagraph"/>
        <w:numPr>
          <w:ilvl w:val="1"/>
          <w:numId w:val="22"/>
        </w:numPr>
        <w:jc w:val="both"/>
        <w:rPr>
          <w:iCs/>
        </w:rPr>
      </w:pPr>
      <w:r w:rsidRPr="00E770E1">
        <w:rPr>
          <w:iCs/>
        </w:rPr>
        <w:t>The Council has a statutory obligation to agree and publish the budget for 20</w:t>
      </w:r>
      <w:r w:rsidR="005434A1" w:rsidRPr="00E770E1">
        <w:rPr>
          <w:iCs/>
        </w:rPr>
        <w:t>2</w:t>
      </w:r>
      <w:r w:rsidR="00091495" w:rsidRPr="00E770E1">
        <w:rPr>
          <w:iCs/>
        </w:rPr>
        <w:t>4</w:t>
      </w:r>
      <w:r w:rsidRPr="00E770E1">
        <w:rPr>
          <w:iCs/>
        </w:rPr>
        <w:t>/</w:t>
      </w:r>
      <w:r w:rsidR="00E14D27" w:rsidRPr="00E770E1">
        <w:rPr>
          <w:iCs/>
        </w:rPr>
        <w:t>2</w:t>
      </w:r>
      <w:r w:rsidR="00225964" w:rsidRPr="00E770E1">
        <w:rPr>
          <w:iCs/>
        </w:rPr>
        <w:t>5</w:t>
      </w:r>
      <w:r w:rsidRPr="00E770E1">
        <w:rPr>
          <w:iCs/>
        </w:rPr>
        <w:t>, and approval for this will be sought in February 20</w:t>
      </w:r>
      <w:r w:rsidR="005434A1" w:rsidRPr="00E770E1">
        <w:rPr>
          <w:iCs/>
        </w:rPr>
        <w:t>2</w:t>
      </w:r>
      <w:r w:rsidR="00225964" w:rsidRPr="00E770E1">
        <w:rPr>
          <w:iCs/>
        </w:rPr>
        <w:t>4</w:t>
      </w:r>
      <w:r w:rsidRPr="00E770E1">
        <w:rPr>
          <w:iCs/>
        </w:rPr>
        <w:t xml:space="preserve">. In preparing the </w:t>
      </w:r>
      <w:r w:rsidR="009D50C0" w:rsidRPr="00E770E1">
        <w:rPr>
          <w:iCs/>
        </w:rPr>
        <w:t>20</w:t>
      </w:r>
      <w:r w:rsidR="005434A1" w:rsidRPr="00E770E1">
        <w:rPr>
          <w:iCs/>
        </w:rPr>
        <w:t>2</w:t>
      </w:r>
      <w:r w:rsidR="00225964" w:rsidRPr="00E770E1">
        <w:rPr>
          <w:iCs/>
        </w:rPr>
        <w:t>4</w:t>
      </w:r>
      <w:r w:rsidRPr="00E770E1">
        <w:rPr>
          <w:iCs/>
        </w:rPr>
        <w:t>/</w:t>
      </w:r>
      <w:r w:rsidR="00E14D27" w:rsidRPr="00E770E1">
        <w:rPr>
          <w:iCs/>
        </w:rPr>
        <w:t>2</w:t>
      </w:r>
      <w:r w:rsidR="00225964" w:rsidRPr="00E770E1">
        <w:rPr>
          <w:iCs/>
        </w:rPr>
        <w:t>5</w:t>
      </w:r>
      <w:r w:rsidRPr="00E770E1">
        <w:rPr>
          <w:iCs/>
        </w:rPr>
        <w:t xml:space="preserve"> </w:t>
      </w:r>
      <w:r w:rsidR="00EB67F4" w:rsidRPr="00E770E1">
        <w:rPr>
          <w:iCs/>
        </w:rPr>
        <w:t>budget and</w:t>
      </w:r>
      <w:r w:rsidRPr="00E770E1">
        <w:rPr>
          <w:iCs/>
        </w:rPr>
        <w:t xml:space="preserve"> rolling forward the MTFS to cover the </w:t>
      </w:r>
      <w:r w:rsidR="006D7B5B" w:rsidRPr="00E770E1">
        <w:rPr>
          <w:iCs/>
        </w:rPr>
        <w:t>three-year</w:t>
      </w:r>
      <w:r w:rsidRPr="00E770E1">
        <w:rPr>
          <w:iCs/>
        </w:rPr>
        <w:t xml:space="preserve"> period to 202</w:t>
      </w:r>
      <w:r w:rsidR="00225964" w:rsidRPr="00E770E1">
        <w:rPr>
          <w:iCs/>
        </w:rPr>
        <w:t>6</w:t>
      </w:r>
      <w:r w:rsidRPr="00E770E1">
        <w:rPr>
          <w:iCs/>
        </w:rPr>
        <w:t>/2</w:t>
      </w:r>
      <w:r w:rsidR="00225964" w:rsidRPr="00E770E1">
        <w:rPr>
          <w:iCs/>
        </w:rPr>
        <w:t>7</w:t>
      </w:r>
      <w:r w:rsidRPr="00E770E1">
        <w:rPr>
          <w:iCs/>
        </w:rPr>
        <w:t xml:space="preserve">, the current MTFS has been the starting point for the process.  </w:t>
      </w:r>
    </w:p>
    <w:p w14:paraId="20486122" w14:textId="3F13760A" w:rsidR="00AD33D2" w:rsidRDefault="00AD33D2" w:rsidP="00450DD4">
      <w:pPr>
        <w:jc w:val="both"/>
        <w:rPr>
          <w:b/>
        </w:rPr>
      </w:pPr>
    </w:p>
    <w:p w14:paraId="68A4373F" w14:textId="77777777" w:rsidR="00615C75" w:rsidRDefault="00615C75" w:rsidP="00450DD4">
      <w:pPr>
        <w:jc w:val="both"/>
        <w:rPr>
          <w:b/>
        </w:rPr>
      </w:pPr>
    </w:p>
    <w:p w14:paraId="13C3084E" w14:textId="10F717B6" w:rsidR="00D033EF" w:rsidRPr="000A7631" w:rsidRDefault="000C71E7" w:rsidP="000A7631">
      <w:pPr>
        <w:pStyle w:val="ListParagraph"/>
        <w:numPr>
          <w:ilvl w:val="1"/>
          <w:numId w:val="22"/>
        </w:numPr>
        <w:jc w:val="both"/>
        <w:rPr>
          <w:color w:val="000000"/>
        </w:rPr>
      </w:pPr>
      <w:r>
        <w:t>The</w:t>
      </w:r>
      <w:r w:rsidR="00A251B7" w:rsidRPr="000A7631">
        <w:rPr>
          <w:color w:val="000000"/>
        </w:rPr>
        <w:t xml:space="preserve"> Council’s financial </w:t>
      </w:r>
      <w:r w:rsidRPr="000A7631">
        <w:rPr>
          <w:color w:val="000000"/>
        </w:rPr>
        <w:t xml:space="preserve">position </w:t>
      </w:r>
      <w:r w:rsidR="00D13181" w:rsidRPr="000A7631">
        <w:rPr>
          <w:color w:val="000000"/>
        </w:rPr>
        <w:t xml:space="preserve">and its operational environment </w:t>
      </w:r>
      <w:r w:rsidRPr="000A7631">
        <w:rPr>
          <w:color w:val="000000"/>
        </w:rPr>
        <w:t>has always been</w:t>
      </w:r>
      <w:r w:rsidR="00A251B7" w:rsidRPr="000A7631">
        <w:rPr>
          <w:color w:val="000000"/>
        </w:rPr>
        <w:t xml:space="preserve"> affected by </w:t>
      </w:r>
      <w:r w:rsidR="002F4775" w:rsidRPr="000A7631">
        <w:rPr>
          <w:color w:val="000000"/>
        </w:rPr>
        <w:t>several</w:t>
      </w:r>
      <w:r w:rsidR="00A251B7" w:rsidRPr="000A7631">
        <w:rPr>
          <w:color w:val="000000"/>
        </w:rPr>
        <w:t xml:space="preserve"> financial uncertainties and adjustments that impact upon its financial position over the </w:t>
      </w:r>
      <w:r w:rsidR="009D50C0" w:rsidRPr="000A7631">
        <w:rPr>
          <w:color w:val="000000"/>
        </w:rPr>
        <w:t>short</w:t>
      </w:r>
      <w:r w:rsidR="001E3CF4" w:rsidRPr="000A7631">
        <w:rPr>
          <w:color w:val="000000"/>
        </w:rPr>
        <w:t xml:space="preserve"> and medium term</w:t>
      </w:r>
      <w:r w:rsidRPr="000A7631">
        <w:rPr>
          <w:color w:val="000000"/>
        </w:rPr>
        <w:t xml:space="preserve">.  </w:t>
      </w:r>
      <w:r w:rsidR="00D033EF" w:rsidRPr="000A7631">
        <w:rPr>
          <w:color w:val="000000"/>
        </w:rPr>
        <w:t xml:space="preserve"> In </w:t>
      </w:r>
      <w:r w:rsidR="00463642" w:rsidRPr="000A7631">
        <w:rPr>
          <w:color w:val="000000"/>
        </w:rPr>
        <w:t>preparing the draft budget for 20</w:t>
      </w:r>
      <w:r w:rsidR="005434A1" w:rsidRPr="000A7631">
        <w:rPr>
          <w:color w:val="000000"/>
        </w:rPr>
        <w:t>2</w:t>
      </w:r>
      <w:r w:rsidR="00225964" w:rsidRPr="000A7631">
        <w:rPr>
          <w:color w:val="000000"/>
        </w:rPr>
        <w:t>4</w:t>
      </w:r>
      <w:r w:rsidR="005434A1" w:rsidRPr="000A7631">
        <w:rPr>
          <w:color w:val="000000"/>
        </w:rPr>
        <w:t>/</w:t>
      </w:r>
      <w:r w:rsidR="00B9272E" w:rsidRPr="000A7631">
        <w:rPr>
          <w:color w:val="000000"/>
        </w:rPr>
        <w:t>2</w:t>
      </w:r>
      <w:r w:rsidR="00225964" w:rsidRPr="000A7631">
        <w:rPr>
          <w:color w:val="000000"/>
        </w:rPr>
        <w:t xml:space="preserve">5 </w:t>
      </w:r>
      <w:r w:rsidR="00463642" w:rsidRPr="000A7631">
        <w:rPr>
          <w:color w:val="000000"/>
        </w:rPr>
        <w:t>the existing MTFS has been</w:t>
      </w:r>
      <w:r w:rsidR="0015720F" w:rsidRPr="000A7631">
        <w:rPr>
          <w:color w:val="000000"/>
        </w:rPr>
        <w:t>:</w:t>
      </w:r>
    </w:p>
    <w:p w14:paraId="26E2756A" w14:textId="77777777" w:rsidR="00EB67F4" w:rsidRDefault="00EB67F4" w:rsidP="00312B8A">
      <w:pPr>
        <w:ind w:left="709" w:hanging="709"/>
        <w:jc w:val="both"/>
        <w:rPr>
          <w:color w:val="000000"/>
        </w:rPr>
      </w:pPr>
    </w:p>
    <w:p w14:paraId="3C225F98" w14:textId="3E1075A2" w:rsidR="00D033EF" w:rsidRDefault="00D033EF" w:rsidP="00537E00">
      <w:pPr>
        <w:pStyle w:val="ListParagraph"/>
        <w:numPr>
          <w:ilvl w:val="0"/>
          <w:numId w:val="5"/>
        </w:numPr>
        <w:jc w:val="both"/>
        <w:rPr>
          <w:color w:val="000000"/>
        </w:rPr>
      </w:pPr>
      <w:r>
        <w:rPr>
          <w:color w:val="000000"/>
        </w:rPr>
        <w:t>R</w:t>
      </w:r>
      <w:r w:rsidR="00463642" w:rsidRPr="008C34FC">
        <w:rPr>
          <w:color w:val="000000"/>
        </w:rPr>
        <w:t>efreshed and rolled on a year</w:t>
      </w:r>
      <w:r w:rsidR="00225964">
        <w:rPr>
          <w:color w:val="000000"/>
        </w:rPr>
        <w:t xml:space="preserve"> into 2026/27</w:t>
      </w:r>
    </w:p>
    <w:p w14:paraId="47A33B21" w14:textId="5CCD040A" w:rsidR="00225964" w:rsidRDefault="0015720F" w:rsidP="00537E00">
      <w:pPr>
        <w:pStyle w:val="ListParagraph"/>
        <w:numPr>
          <w:ilvl w:val="0"/>
          <w:numId w:val="5"/>
        </w:numPr>
        <w:jc w:val="both"/>
        <w:rPr>
          <w:color w:val="000000"/>
        </w:rPr>
      </w:pPr>
      <w:r>
        <w:rPr>
          <w:color w:val="000000"/>
        </w:rPr>
        <w:t xml:space="preserve">Updated to reflect the </w:t>
      </w:r>
      <w:r w:rsidR="00225964">
        <w:rPr>
          <w:color w:val="000000"/>
        </w:rPr>
        <w:t>demand pressures as well as any opportunities and savings, plus council tax changes.</w:t>
      </w:r>
    </w:p>
    <w:p w14:paraId="6E96CA31" w14:textId="038AB4FB" w:rsidR="00225964" w:rsidRPr="00D666A8" w:rsidRDefault="00225964" w:rsidP="00D666A8">
      <w:pPr>
        <w:ind w:left="1155"/>
        <w:jc w:val="both"/>
        <w:rPr>
          <w:color w:val="000000"/>
        </w:rPr>
      </w:pPr>
    </w:p>
    <w:p w14:paraId="2F54EC02" w14:textId="77777777" w:rsidR="008553AB" w:rsidRDefault="008553AB" w:rsidP="008C34FC">
      <w:pPr>
        <w:pStyle w:val="ListParagraph"/>
        <w:ind w:left="1515"/>
        <w:jc w:val="both"/>
        <w:rPr>
          <w:color w:val="000000"/>
        </w:rPr>
      </w:pPr>
    </w:p>
    <w:p w14:paraId="7135EC31" w14:textId="3947DF0D" w:rsidR="000A6AC7" w:rsidRDefault="0015720F" w:rsidP="000A7631">
      <w:pPr>
        <w:pStyle w:val="ListParagraph"/>
        <w:numPr>
          <w:ilvl w:val="1"/>
          <w:numId w:val="22"/>
        </w:numPr>
        <w:jc w:val="both"/>
      </w:pPr>
      <w:r w:rsidRPr="00E770E1">
        <w:rPr>
          <w:color w:val="000000"/>
        </w:rPr>
        <w:t xml:space="preserve">The </w:t>
      </w:r>
      <w:r w:rsidR="00463642" w:rsidRPr="00E770E1">
        <w:rPr>
          <w:color w:val="000000"/>
        </w:rPr>
        <w:t xml:space="preserve">adjustments are summarised in </w:t>
      </w:r>
      <w:r w:rsidR="000A6AC7" w:rsidRPr="00E770E1">
        <w:rPr>
          <w:color w:val="000000"/>
        </w:rPr>
        <w:t>T</w:t>
      </w:r>
      <w:r w:rsidR="00463642" w:rsidRPr="00E770E1">
        <w:rPr>
          <w:color w:val="000000"/>
        </w:rPr>
        <w:t xml:space="preserve">able </w:t>
      </w:r>
      <w:r w:rsidR="002E50B6" w:rsidRPr="00E770E1">
        <w:rPr>
          <w:color w:val="000000"/>
        </w:rPr>
        <w:t>1</w:t>
      </w:r>
      <w:r w:rsidR="00463642" w:rsidRPr="00E770E1">
        <w:rPr>
          <w:color w:val="000000"/>
        </w:rPr>
        <w:t xml:space="preserve"> below</w:t>
      </w:r>
      <w:r w:rsidR="000A6AC7" w:rsidRPr="00E770E1">
        <w:rPr>
          <w:color w:val="000000"/>
        </w:rPr>
        <w:t>.</w:t>
      </w:r>
      <w:r w:rsidR="00312B8A" w:rsidRPr="00E770E1">
        <w:rPr>
          <w:color w:val="000000"/>
        </w:rPr>
        <w:t xml:space="preserve"> </w:t>
      </w:r>
      <w:r w:rsidR="000A6AC7" w:rsidRPr="00E770E1">
        <w:rPr>
          <w:color w:val="000000"/>
        </w:rPr>
        <w:t xml:space="preserve">Following Table </w:t>
      </w:r>
      <w:r w:rsidR="002E50B6" w:rsidRPr="00E770E1">
        <w:rPr>
          <w:color w:val="000000"/>
        </w:rPr>
        <w:t>1</w:t>
      </w:r>
      <w:r w:rsidR="000A6AC7" w:rsidRPr="00E770E1">
        <w:rPr>
          <w:color w:val="000000"/>
        </w:rPr>
        <w:t xml:space="preserve"> there is an </w:t>
      </w:r>
      <w:r w:rsidR="001D7C4C" w:rsidRPr="00E770E1">
        <w:rPr>
          <w:color w:val="000000"/>
        </w:rPr>
        <w:t xml:space="preserve">explanation </w:t>
      </w:r>
      <w:r w:rsidR="000A6AC7" w:rsidRPr="00592F21">
        <w:t xml:space="preserve">for the figures </w:t>
      </w:r>
      <w:r w:rsidR="005C7C20">
        <w:t>contained within</w:t>
      </w:r>
      <w:r w:rsidR="000706E4">
        <w:t xml:space="preserve"> the table</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w:t>
      </w:r>
      <w:r w:rsidR="000A6AC7" w:rsidRPr="00967747">
        <w:t>2</w:t>
      </w:r>
      <w:r w:rsidR="000A6AC7" w:rsidRPr="00592F21">
        <w:t xml:space="preserve"> along with </w:t>
      </w:r>
      <w:r w:rsidR="005C7C20">
        <w:t>a</w:t>
      </w:r>
      <w:r w:rsidR="000A6AC7" w:rsidRPr="00592F21">
        <w:t>djustments included within the previous MTFS agreed as part of the 20</w:t>
      </w:r>
      <w:r>
        <w:t>2</w:t>
      </w:r>
      <w:r w:rsidR="00BF407C">
        <w:t>3</w:t>
      </w:r>
      <w:r>
        <w:t>/2</w:t>
      </w:r>
      <w:r w:rsidR="00BF407C">
        <w:t>4</w:t>
      </w:r>
      <w:r w:rsidR="000A6AC7" w:rsidRPr="00592F21">
        <w:t xml:space="preserve"> Budget process</w:t>
      </w:r>
      <w:r w:rsidR="00BF407C">
        <w:t>.  Table 1 shows budget gaps of £0m for 2024/25, £12.4</w:t>
      </w:r>
      <w:r w:rsidR="00C267F3">
        <w:t>66</w:t>
      </w:r>
      <w:r w:rsidR="00BF407C">
        <w:t>m for 2025/26 and £6.732m for 2026/27.</w:t>
      </w:r>
    </w:p>
    <w:p w14:paraId="4BB833EC" w14:textId="18C70882" w:rsidR="00066FEB" w:rsidRDefault="00066FEB" w:rsidP="008C34FC">
      <w:pPr>
        <w:ind w:left="795"/>
        <w:jc w:val="both"/>
      </w:pPr>
    </w:p>
    <w:p w14:paraId="269E1F05" w14:textId="1B18DAB6" w:rsidR="002F4775" w:rsidRDefault="002F4775" w:rsidP="008C34FC">
      <w:pPr>
        <w:ind w:left="795"/>
        <w:jc w:val="both"/>
      </w:pPr>
    </w:p>
    <w:p w14:paraId="238B2E11" w14:textId="3F0297A8" w:rsidR="002F4775" w:rsidRDefault="00D20548" w:rsidP="008C34FC">
      <w:pPr>
        <w:ind w:left="795"/>
        <w:jc w:val="both"/>
      </w:pPr>
      <w:r w:rsidRPr="00D20548">
        <w:rPr>
          <w:noProof/>
        </w:rPr>
        <w:lastRenderedPageBreak/>
        <w:drawing>
          <wp:inline distT="0" distB="0" distL="0" distR="0" wp14:anchorId="30DB04E8" wp14:editId="37EB9200">
            <wp:extent cx="5219700" cy="95973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9700" cy="9597390"/>
                    </a:xfrm>
                    <a:prstGeom prst="rect">
                      <a:avLst/>
                    </a:prstGeom>
                    <a:noFill/>
                    <a:ln>
                      <a:noFill/>
                    </a:ln>
                  </pic:spPr>
                </pic:pic>
              </a:graphicData>
            </a:graphic>
          </wp:inline>
        </w:drawing>
      </w:r>
    </w:p>
    <w:p w14:paraId="6BC24BDC" w14:textId="0879051E" w:rsidR="00866C43" w:rsidRDefault="003228B9" w:rsidP="002F4775">
      <w:pPr>
        <w:pStyle w:val="ListParagraph"/>
        <w:ind w:left="709"/>
        <w:jc w:val="both"/>
        <w:rPr>
          <w:b/>
        </w:rPr>
      </w:pPr>
      <w:bookmarkStart w:id="3" w:name="_Hlk120470017"/>
      <w:bookmarkStart w:id="4" w:name="_Hlk120474291"/>
      <w:r w:rsidRPr="00BE4396">
        <w:rPr>
          <w:b/>
        </w:rPr>
        <w:lastRenderedPageBreak/>
        <w:t>Council Tax</w:t>
      </w:r>
      <w:r w:rsidR="00BF407C">
        <w:rPr>
          <w:b/>
        </w:rPr>
        <w:t xml:space="preserve"> </w:t>
      </w:r>
      <w:r w:rsidR="002F14FC">
        <w:rPr>
          <w:b/>
        </w:rPr>
        <w:t xml:space="preserve">and NNDR </w:t>
      </w:r>
      <w:r w:rsidR="00BF407C">
        <w:rPr>
          <w:b/>
        </w:rPr>
        <w:t>Changes</w:t>
      </w:r>
    </w:p>
    <w:p w14:paraId="52CED52F" w14:textId="77777777" w:rsidR="000A7631" w:rsidRDefault="000A7631" w:rsidP="002F4775">
      <w:pPr>
        <w:pStyle w:val="ListParagraph"/>
        <w:ind w:left="709"/>
        <w:jc w:val="both"/>
        <w:rPr>
          <w:b/>
        </w:rPr>
      </w:pPr>
    </w:p>
    <w:p w14:paraId="78E9E805" w14:textId="1584798F" w:rsidR="000A7631" w:rsidRPr="009E755A" w:rsidRDefault="000A7631" w:rsidP="000A7631">
      <w:pPr>
        <w:pStyle w:val="ListParagraph"/>
        <w:numPr>
          <w:ilvl w:val="1"/>
          <w:numId w:val="22"/>
        </w:numPr>
        <w:jc w:val="both"/>
      </w:pPr>
      <w:r>
        <w:t>In 2023/24, despite an increase in Council tax of 4.99% which raised additional revenue of</w:t>
      </w:r>
      <w:r w:rsidRPr="009105AD">
        <w:t xml:space="preserve"> </w:t>
      </w:r>
      <w:r>
        <w:t xml:space="preserve">£7.8m (Council tax income increased from £146.2m to £154.0m), the cost of the 2023/24 pay award </w:t>
      </w:r>
      <w:r w:rsidR="001723FA">
        <w:t xml:space="preserve">(only agreed in October 2023) </w:t>
      </w:r>
      <w:r>
        <w:t xml:space="preserve">is £7.2m and therefore, this left very little funding available for other demand </w:t>
      </w:r>
      <w:r w:rsidR="001723FA">
        <w:t xml:space="preserve">pressures that have emerged in adult services </w:t>
      </w:r>
      <w:r>
        <w:t xml:space="preserve">and </w:t>
      </w:r>
      <w:r w:rsidR="001723FA">
        <w:t xml:space="preserve">other </w:t>
      </w:r>
      <w:r>
        <w:t>inflationary pressures.</w:t>
      </w:r>
    </w:p>
    <w:p w14:paraId="70A25C4A" w14:textId="77777777" w:rsidR="00DA6E5C" w:rsidRPr="000A7631" w:rsidRDefault="00DA6E5C" w:rsidP="000A7631">
      <w:pPr>
        <w:jc w:val="both"/>
        <w:rPr>
          <w:b/>
        </w:rPr>
      </w:pPr>
    </w:p>
    <w:p w14:paraId="6EFD4F89" w14:textId="551B93AB" w:rsidR="00B10A5C" w:rsidRDefault="00BF407C" w:rsidP="000A7631">
      <w:pPr>
        <w:pStyle w:val="ListParagraph"/>
        <w:numPr>
          <w:ilvl w:val="1"/>
          <w:numId w:val="22"/>
        </w:numPr>
        <w:jc w:val="both"/>
      </w:pPr>
      <w:r>
        <w:t xml:space="preserve">The assumed Council tax levels built into the MTFS agreed in February 2023 were based on 3.99% for 2023/24 and 2.99% for 2025/26.  The changes made in Table 1 reflect an assumed Council tax of 2.99% in 2026/27 and an additional 1% assumed for 2024/25 which would take the increase from 3.99% to 4.99% for 2024/25. </w:t>
      </w:r>
      <w:r w:rsidR="00B10A5C">
        <w:t xml:space="preserve">There is no change to the assumed 2.99% for 2025/26.  </w:t>
      </w:r>
      <w:r w:rsidR="003051FA">
        <w:t xml:space="preserve">This therefore provides for Council tax increases of 4.99%, 2.99% and 2.99% for the 3-year period 2024/25 to 2026/27. </w:t>
      </w:r>
    </w:p>
    <w:p w14:paraId="2C418B97" w14:textId="77777777" w:rsidR="00B10A5C" w:rsidRDefault="00B10A5C" w:rsidP="0026291B">
      <w:pPr>
        <w:ind w:left="709" w:hanging="709"/>
        <w:jc w:val="both"/>
      </w:pPr>
    </w:p>
    <w:p w14:paraId="4B18584A" w14:textId="78A5215F" w:rsidR="00BF407C" w:rsidRDefault="003051FA" w:rsidP="000A7631">
      <w:pPr>
        <w:pStyle w:val="ListParagraph"/>
        <w:numPr>
          <w:ilvl w:val="1"/>
          <w:numId w:val="22"/>
        </w:numPr>
        <w:jc w:val="both"/>
      </w:pPr>
      <w:r>
        <w:t xml:space="preserve">In </w:t>
      </w:r>
      <w:r w:rsidR="003917CB">
        <w:t>T</w:t>
      </w:r>
      <w:r>
        <w:t xml:space="preserve">able 1, the additional 1% in 2024/25 achieves additional income of £1.545m, whilst the </w:t>
      </w:r>
      <w:r w:rsidR="00B10A5C">
        <w:t>original 3.99% achieves income of £6.144m</w:t>
      </w:r>
      <w:r w:rsidR="003917CB">
        <w:t>.</w:t>
      </w:r>
      <w:r w:rsidR="00B10A5C">
        <w:t xml:space="preserve"> </w:t>
      </w:r>
      <w:r w:rsidR="003917CB">
        <w:t>T</w:t>
      </w:r>
      <w:r w:rsidR="00B10A5C">
        <w:t>herefore</w:t>
      </w:r>
      <w:r w:rsidR="000A7631">
        <w:t>,</w:t>
      </w:r>
      <w:r w:rsidR="00B10A5C">
        <w:t xml:space="preserve"> the total council tax to be achieved from the 4.99% increase is £7.689m.  The </w:t>
      </w:r>
      <w:r>
        <w:t>addition of 2.99% in 2026/27 provides £4.995m of council tax income</w:t>
      </w:r>
      <w:r w:rsidR="00B10A5C">
        <w:t xml:space="preserve"> in 2026/27</w:t>
      </w:r>
      <w:r>
        <w:t>.</w:t>
      </w:r>
    </w:p>
    <w:p w14:paraId="79C10D3D" w14:textId="77777777" w:rsidR="00BF407C" w:rsidRDefault="00BF407C" w:rsidP="0026291B">
      <w:pPr>
        <w:ind w:left="709" w:hanging="709"/>
        <w:jc w:val="both"/>
      </w:pPr>
    </w:p>
    <w:p w14:paraId="288DFCA5" w14:textId="41417526" w:rsidR="00CB2D14" w:rsidRDefault="00BF407C" w:rsidP="00821514">
      <w:pPr>
        <w:ind w:left="709"/>
        <w:jc w:val="both"/>
        <w:rPr>
          <w:rFonts w:cs="Arial"/>
        </w:rPr>
      </w:pPr>
      <w:r>
        <w:t xml:space="preserve">In addition, </w:t>
      </w:r>
      <w:r w:rsidR="00CB4E28">
        <w:t>the</w:t>
      </w:r>
      <w:r w:rsidR="00CB4E28" w:rsidRPr="00FA55D8">
        <w:rPr>
          <w:rFonts w:cs="Arial"/>
        </w:rPr>
        <w:t xml:space="preserve"> Council’s </w:t>
      </w:r>
      <w:r w:rsidR="00866C43">
        <w:rPr>
          <w:rFonts w:cs="Arial"/>
        </w:rPr>
        <w:t>t</w:t>
      </w:r>
      <w:r w:rsidR="00CB4E28" w:rsidRPr="00FA55D8">
        <w:rPr>
          <w:rFonts w:cs="Arial"/>
        </w:rPr>
        <w:t xml:space="preserve">ax </w:t>
      </w:r>
      <w:r w:rsidR="00866C43">
        <w:rPr>
          <w:rFonts w:cs="Arial"/>
        </w:rPr>
        <w:t>b</w:t>
      </w:r>
      <w:r w:rsidR="00CB4E28" w:rsidRPr="00FA55D8">
        <w:rPr>
          <w:rFonts w:cs="Arial"/>
        </w:rPr>
        <w:t xml:space="preserve">ase has been calculated, </w:t>
      </w:r>
      <w:r w:rsidR="000A7631">
        <w:rPr>
          <w:rFonts w:cs="Arial"/>
        </w:rPr>
        <w:t>(</w:t>
      </w:r>
      <w:r w:rsidR="00CB4E28" w:rsidRPr="00FA55D8">
        <w:rPr>
          <w:rFonts w:cs="Arial"/>
        </w:rPr>
        <w:t>according to the relevant procedures and guidance</w:t>
      </w:r>
      <w:r w:rsidR="000A7631">
        <w:rPr>
          <w:rFonts w:cs="Arial"/>
        </w:rPr>
        <w:t>)</w:t>
      </w:r>
      <w:r w:rsidR="00513B81">
        <w:rPr>
          <w:rFonts w:cs="Arial"/>
        </w:rPr>
        <w:t xml:space="preserve"> </w:t>
      </w:r>
      <w:r w:rsidR="00CB4E28" w:rsidRPr="00FA55D8">
        <w:rPr>
          <w:rFonts w:cs="Arial"/>
        </w:rPr>
        <w:t xml:space="preserve">at </w:t>
      </w:r>
      <w:r w:rsidR="00FD6DBB">
        <w:rPr>
          <w:rFonts w:cs="Arial"/>
        </w:rPr>
        <w:t>89,</w:t>
      </w:r>
      <w:r>
        <w:rPr>
          <w:rFonts w:cs="Arial"/>
        </w:rPr>
        <w:t xml:space="preserve">375 </w:t>
      </w:r>
      <w:r w:rsidR="00963F1E">
        <w:rPr>
          <w:rFonts w:cs="Arial"/>
        </w:rPr>
        <w:t>b</w:t>
      </w:r>
      <w:r w:rsidR="00CB4E28">
        <w:rPr>
          <w:rFonts w:cs="Arial"/>
        </w:rPr>
        <w:t xml:space="preserve">and D equivalent properties, </w:t>
      </w:r>
      <w:r>
        <w:rPr>
          <w:rFonts w:cs="Arial"/>
        </w:rPr>
        <w:t xml:space="preserve">which is an increase of 290 Band D equivalents on the 2023/24 Band D of 89,085.  </w:t>
      </w:r>
      <w:r w:rsidR="00D86EA1">
        <w:rPr>
          <w:rFonts w:cs="Arial"/>
        </w:rPr>
        <w:t>This will generate addit</w:t>
      </w:r>
      <w:r w:rsidR="004B6F5C">
        <w:rPr>
          <w:rFonts w:cs="Arial"/>
        </w:rPr>
        <w:t xml:space="preserve">ional income of </w:t>
      </w:r>
      <w:r w:rsidR="00FD6DBB">
        <w:rPr>
          <w:rFonts w:cs="Arial"/>
        </w:rPr>
        <w:t>£0.5</w:t>
      </w:r>
      <w:r w:rsidR="00CB2D14">
        <w:rPr>
          <w:rFonts w:cs="Arial"/>
        </w:rPr>
        <w:t>21</w:t>
      </w:r>
      <w:r w:rsidR="00FD6DBB">
        <w:rPr>
          <w:rFonts w:cs="Arial"/>
        </w:rPr>
        <w:t>m</w:t>
      </w:r>
      <w:r w:rsidR="00CB2D14">
        <w:rPr>
          <w:rFonts w:cs="Arial"/>
        </w:rPr>
        <w:t xml:space="preserve"> in 2024/25.  Because £0.5m had already been included in the 2024/25 assumptions when the MTFS was set last year in Feb 2023, Table 1 only includes a further £21k.  There are further tax base increases assumed for 2025/26 and 2026/27 </w:t>
      </w:r>
      <w:r w:rsidR="003051FA">
        <w:rPr>
          <w:rFonts w:cs="Arial"/>
        </w:rPr>
        <w:t xml:space="preserve">and included in Table 1, </w:t>
      </w:r>
      <w:r w:rsidR="00CB2D14">
        <w:rPr>
          <w:rFonts w:cs="Arial"/>
        </w:rPr>
        <w:t>whi</w:t>
      </w:r>
      <w:r w:rsidR="003051FA">
        <w:rPr>
          <w:rFonts w:cs="Arial"/>
        </w:rPr>
        <w:t xml:space="preserve">ch </w:t>
      </w:r>
      <w:r w:rsidR="00CB2D14">
        <w:rPr>
          <w:rFonts w:cs="Arial"/>
        </w:rPr>
        <w:t>will be revisited as part of the 2025/2</w:t>
      </w:r>
      <w:r w:rsidR="000706E4">
        <w:rPr>
          <w:rFonts w:cs="Arial"/>
        </w:rPr>
        <w:t>6</w:t>
      </w:r>
      <w:r w:rsidR="00CB2D14">
        <w:rPr>
          <w:rFonts w:cs="Arial"/>
        </w:rPr>
        <w:t xml:space="preserve"> budget process.</w:t>
      </w:r>
    </w:p>
    <w:bookmarkEnd w:id="3"/>
    <w:p w14:paraId="5F6B96B7" w14:textId="77777777" w:rsidR="00BC7A9F" w:rsidRPr="00C4111B" w:rsidRDefault="00BC7A9F" w:rsidP="00821514">
      <w:pPr>
        <w:ind w:left="709"/>
        <w:jc w:val="both"/>
        <w:rPr>
          <w:b/>
          <w:bCs/>
          <w:color w:val="7030A0"/>
        </w:rPr>
      </w:pPr>
    </w:p>
    <w:p w14:paraId="2983D4E4" w14:textId="0DF9F08D" w:rsidR="003110A4" w:rsidRDefault="00375952" w:rsidP="000A7631">
      <w:pPr>
        <w:pStyle w:val="ListParagraph"/>
        <w:numPr>
          <w:ilvl w:val="1"/>
          <w:numId w:val="22"/>
        </w:numPr>
        <w:jc w:val="both"/>
      </w:pPr>
      <w:bookmarkStart w:id="5" w:name="_Hlk120722617"/>
      <w:r>
        <w:t xml:space="preserve">A maximum Council Tax increase of </w:t>
      </w:r>
      <w:r w:rsidR="000F50BE">
        <w:t>4</w:t>
      </w:r>
      <w:r w:rsidR="00A522BE">
        <w:t>.99</w:t>
      </w:r>
      <w:r>
        <w:t>% is budgeted for 202</w:t>
      </w:r>
      <w:r w:rsidR="00B10A5C">
        <w:t>4</w:t>
      </w:r>
      <w:r>
        <w:t>/</w:t>
      </w:r>
      <w:r w:rsidR="009009D5">
        <w:t>2</w:t>
      </w:r>
      <w:r w:rsidR="00B10A5C">
        <w:t>5</w:t>
      </w:r>
      <w:r w:rsidR="009009D5">
        <w:t xml:space="preserve"> in</w:t>
      </w:r>
      <w:r w:rsidR="004B6F5C">
        <w:t xml:space="preserve"> line with </w:t>
      </w:r>
      <w:r w:rsidR="00B10A5C">
        <w:t>announcements made as part of the 2023/24 Finance settlement in December 2022</w:t>
      </w:r>
      <w:r w:rsidR="009009D5">
        <w:t>.</w:t>
      </w:r>
      <w:r w:rsidR="004B6F5C">
        <w:t xml:space="preserve"> </w:t>
      </w:r>
      <w:r w:rsidR="00B10A5C">
        <w:t xml:space="preserve">There is uncertainty as to whether the 2024/25 </w:t>
      </w:r>
      <w:r w:rsidR="000B69F5">
        <w:t>settlement</w:t>
      </w:r>
      <w:r w:rsidR="00B10A5C">
        <w:t xml:space="preserve"> will provide guidance as to the maximum level of Council Tax increase for 2025/26 and 2026/27 and for this reason, the working assumption has been left at 2.99% for both of these years. </w:t>
      </w:r>
      <w:r w:rsidR="00695FDA">
        <w:t xml:space="preserve"> </w:t>
      </w:r>
    </w:p>
    <w:bookmarkEnd w:id="5"/>
    <w:p w14:paraId="3A2CF6ED" w14:textId="6A09A4EF" w:rsidR="008442B5" w:rsidRDefault="008442B5" w:rsidP="004B6F5C">
      <w:pPr>
        <w:ind w:left="709" w:hanging="709"/>
        <w:jc w:val="both"/>
      </w:pPr>
    </w:p>
    <w:p w14:paraId="3EA6A9D8" w14:textId="66A4DDB9" w:rsidR="00E770E1" w:rsidRPr="00615C75" w:rsidRDefault="008442B5" w:rsidP="00E770E1">
      <w:pPr>
        <w:pStyle w:val="ListParagraph"/>
        <w:numPr>
          <w:ilvl w:val="1"/>
          <w:numId w:val="22"/>
        </w:numPr>
        <w:jc w:val="both"/>
      </w:pPr>
      <w:r>
        <w:t>The Autumn Statement</w:t>
      </w:r>
      <w:r w:rsidR="00F120B8">
        <w:t xml:space="preserve"> 2023</w:t>
      </w:r>
      <w:r>
        <w:t xml:space="preserve"> is clear that the </w:t>
      </w:r>
      <w:r w:rsidR="002D4DE6">
        <w:t xml:space="preserve">small </w:t>
      </w:r>
      <w:r>
        <w:t>business rates multiplier will be frozen in 202</w:t>
      </w:r>
      <w:r w:rsidR="00963F1E">
        <w:t>4</w:t>
      </w:r>
      <w:r>
        <w:t>/2</w:t>
      </w:r>
      <w:r w:rsidR="00963F1E">
        <w:t>5</w:t>
      </w:r>
      <w:r>
        <w:t xml:space="preserve"> and local authorities will be fully compensated for any loss of income</w:t>
      </w:r>
      <w:r w:rsidR="00F120B8">
        <w:t xml:space="preserve"> at the September CPI level of 6.7%</w:t>
      </w:r>
      <w:r>
        <w:t xml:space="preserve">.  </w:t>
      </w:r>
      <w:r w:rsidR="001030A3">
        <w:t xml:space="preserve">Freezing the multiplier means businesses will not see an increase in their bills and the Council will be compensated for this loss of inflationary income through the NNDR Multiplier Grant. </w:t>
      </w:r>
      <w:r w:rsidR="00F120B8">
        <w:t>However, due to revaluation losses in NNDR, there is no assumed increase in NNDR built into the budget for 2024/25 and this will be revisited following the announcement of the 2024/25 Finance settlement.</w:t>
      </w:r>
      <w:r w:rsidR="00D377C0">
        <w:t xml:space="preserve">  </w:t>
      </w:r>
      <w:r w:rsidR="00D377C0" w:rsidRPr="00E770E1">
        <w:rPr>
          <w:rFonts w:cs="Arial"/>
          <w:szCs w:val="24"/>
        </w:rPr>
        <w:t>Rateable value generally reduces annually in Harrow, this being a trend that has existed locally for several years.</w:t>
      </w:r>
      <w:r w:rsidR="00D95F52" w:rsidRPr="00E770E1">
        <w:rPr>
          <w:rFonts w:cs="Arial"/>
          <w:szCs w:val="24"/>
        </w:rPr>
        <w:t xml:space="preserve"> </w:t>
      </w:r>
    </w:p>
    <w:p w14:paraId="513EC364" w14:textId="77777777" w:rsidR="00615C75" w:rsidRDefault="00615C75" w:rsidP="00615C75">
      <w:pPr>
        <w:pStyle w:val="ListParagraph"/>
      </w:pPr>
    </w:p>
    <w:p w14:paraId="5DDAE051" w14:textId="77777777" w:rsidR="00615C75" w:rsidRPr="00E770E1" w:rsidRDefault="00615C75" w:rsidP="00615C75">
      <w:pPr>
        <w:pStyle w:val="ListParagraph"/>
        <w:ind w:left="710"/>
        <w:jc w:val="both"/>
      </w:pPr>
    </w:p>
    <w:p w14:paraId="4510FA3E" w14:textId="77777777" w:rsidR="00E770E1" w:rsidRDefault="00E770E1" w:rsidP="00615C75">
      <w:pPr>
        <w:jc w:val="both"/>
      </w:pPr>
    </w:p>
    <w:p w14:paraId="6ED51DDE" w14:textId="4B10FF69" w:rsidR="009A6DA1" w:rsidRDefault="00901C1F" w:rsidP="001723FA">
      <w:pPr>
        <w:pStyle w:val="ListParagraph"/>
        <w:numPr>
          <w:ilvl w:val="1"/>
          <w:numId w:val="22"/>
        </w:numPr>
        <w:jc w:val="both"/>
      </w:pPr>
      <w:r>
        <w:lastRenderedPageBreak/>
        <w:t>The Collection Fund and its impact on the 202</w:t>
      </w:r>
      <w:r w:rsidR="00D20548">
        <w:t>4</w:t>
      </w:r>
      <w:r>
        <w:t>/2</w:t>
      </w:r>
      <w:r w:rsidR="00D20548">
        <w:t>5</w:t>
      </w:r>
      <w:r>
        <w:t xml:space="preserve"> budget is subject to a</w:t>
      </w:r>
      <w:r w:rsidR="00E770E1">
        <w:t xml:space="preserve"> </w:t>
      </w:r>
      <w:r>
        <w:t>separate report elsewhere on this agenda (Report: Estimated Surplus /(Deficit) on the Collection Fund 202</w:t>
      </w:r>
      <w:r w:rsidR="00F120B8">
        <w:t>3</w:t>
      </w:r>
      <w:r>
        <w:t>/2</w:t>
      </w:r>
      <w:r w:rsidR="00F120B8">
        <w:t>4</w:t>
      </w:r>
      <w:r>
        <w:t>). The estimated impact on the 202</w:t>
      </w:r>
      <w:r w:rsidR="00F120B8">
        <w:t>3</w:t>
      </w:r>
      <w:r>
        <w:t>/2</w:t>
      </w:r>
      <w:r w:rsidR="00F120B8">
        <w:t>4</w:t>
      </w:r>
      <w:r>
        <w:t xml:space="preserve"> Collection Fund</w:t>
      </w:r>
      <w:r w:rsidR="00E770E1">
        <w:t xml:space="preserve"> </w:t>
      </w:r>
      <w:r>
        <w:t xml:space="preserve">is a </w:t>
      </w:r>
      <w:r w:rsidR="008442B5">
        <w:t>surplus of £</w:t>
      </w:r>
      <w:r w:rsidR="00F120B8">
        <w:t>0</w:t>
      </w:r>
      <w:r w:rsidR="008442B5">
        <w:t>.</w:t>
      </w:r>
      <w:r w:rsidR="00F120B8">
        <w:t>790</w:t>
      </w:r>
      <w:r w:rsidR="008442B5">
        <w:t>m</w:t>
      </w:r>
      <w:r w:rsidR="003110A4">
        <w:t xml:space="preserve"> </w:t>
      </w:r>
      <w:r>
        <w:t xml:space="preserve">which must be accounted for as a </w:t>
      </w:r>
      <w:r w:rsidR="008C0F96">
        <w:t>one-off</w:t>
      </w:r>
      <w:r>
        <w:t xml:space="preserve"> </w:t>
      </w:r>
      <w:r w:rsidR="008442B5">
        <w:t>income</w:t>
      </w:r>
      <w:r>
        <w:t xml:space="preserve"> against the 202</w:t>
      </w:r>
      <w:r w:rsidR="00F120B8">
        <w:t>4</w:t>
      </w:r>
      <w:r>
        <w:t>/2</w:t>
      </w:r>
      <w:r w:rsidR="00F120B8">
        <w:t>5</w:t>
      </w:r>
      <w:r>
        <w:t xml:space="preserve"> budget</w:t>
      </w:r>
      <w:bookmarkEnd w:id="4"/>
      <w:r w:rsidR="000B69F5">
        <w:t xml:space="preserve"> and is included in Table 1.</w:t>
      </w:r>
    </w:p>
    <w:p w14:paraId="67C4ECFA" w14:textId="77777777" w:rsidR="009A6DA1" w:rsidRDefault="009A6DA1" w:rsidP="001030A3">
      <w:pPr>
        <w:ind w:left="720" w:hanging="720"/>
        <w:jc w:val="both"/>
      </w:pPr>
    </w:p>
    <w:p w14:paraId="4D0B36CC" w14:textId="6ABF9F08" w:rsidR="00F745F5" w:rsidRDefault="00F745F5" w:rsidP="006E5EFA">
      <w:pPr>
        <w:ind w:left="720"/>
        <w:jc w:val="both"/>
        <w:rPr>
          <w:b/>
          <w:bCs/>
        </w:rPr>
      </w:pPr>
      <w:r w:rsidRPr="006E5EFA">
        <w:rPr>
          <w:b/>
          <w:bCs/>
        </w:rPr>
        <w:t>Technical Changes</w:t>
      </w:r>
    </w:p>
    <w:p w14:paraId="5444E8FF" w14:textId="77777777" w:rsidR="009615A1" w:rsidRPr="006E5EFA" w:rsidRDefault="009615A1" w:rsidP="006E5EFA">
      <w:pPr>
        <w:ind w:left="720"/>
        <w:jc w:val="both"/>
        <w:rPr>
          <w:b/>
          <w:bCs/>
        </w:rPr>
      </w:pPr>
    </w:p>
    <w:p w14:paraId="7E018764" w14:textId="26F4D3C2" w:rsidR="00182CFD" w:rsidRDefault="00F73A3C" w:rsidP="000A7631">
      <w:pPr>
        <w:pStyle w:val="ListParagraph"/>
        <w:numPr>
          <w:ilvl w:val="1"/>
          <w:numId w:val="22"/>
        </w:numPr>
        <w:jc w:val="both"/>
      </w:pPr>
      <w:bookmarkStart w:id="6" w:name="_Hlk120474437"/>
      <w:r>
        <w:t xml:space="preserve">A number of other adjustments have been included in </w:t>
      </w:r>
      <w:r w:rsidR="003917CB">
        <w:t>T</w:t>
      </w:r>
      <w:r>
        <w:t xml:space="preserve">able 1 which are </w:t>
      </w:r>
      <w:r w:rsidR="00182CFD">
        <w:t>explained as follows:</w:t>
      </w:r>
    </w:p>
    <w:p w14:paraId="3976ED8B" w14:textId="122EB844" w:rsidR="00182CFD" w:rsidRPr="00D666A8" w:rsidRDefault="00182CFD" w:rsidP="00182CFD">
      <w:pPr>
        <w:pStyle w:val="ListParagraph"/>
        <w:numPr>
          <w:ilvl w:val="0"/>
          <w:numId w:val="16"/>
        </w:numPr>
        <w:jc w:val="both"/>
        <w:rPr>
          <w:rFonts w:ascii="Calibri" w:hAnsi="Calibri"/>
          <w:sz w:val="22"/>
        </w:rPr>
      </w:pPr>
      <w:r>
        <w:t>£1m of council wide growth in 2026/27 – this is a general allowance for growth as</w:t>
      </w:r>
      <w:r w:rsidR="003917CB">
        <w:t>,</w:t>
      </w:r>
      <w:r>
        <w:t xml:space="preserve"> other than for adults, there is no other departmental growth included.</w:t>
      </w:r>
    </w:p>
    <w:p w14:paraId="334D6E6A" w14:textId="77777777" w:rsidR="003468E3" w:rsidRPr="00D666A8" w:rsidRDefault="003468E3" w:rsidP="00D666A8">
      <w:pPr>
        <w:pStyle w:val="ListParagraph"/>
        <w:jc w:val="both"/>
        <w:rPr>
          <w:rFonts w:ascii="Calibri" w:hAnsi="Calibri"/>
          <w:sz w:val="22"/>
        </w:rPr>
      </w:pPr>
    </w:p>
    <w:p w14:paraId="75789FE0" w14:textId="2CF67240" w:rsidR="00182CFD" w:rsidRPr="00D666A8" w:rsidRDefault="00182CFD" w:rsidP="00182CFD">
      <w:pPr>
        <w:pStyle w:val="ListParagraph"/>
        <w:numPr>
          <w:ilvl w:val="0"/>
          <w:numId w:val="16"/>
        </w:numPr>
        <w:jc w:val="both"/>
        <w:rPr>
          <w:rFonts w:ascii="Calibri" w:hAnsi="Calibri"/>
          <w:sz w:val="22"/>
        </w:rPr>
      </w:pPr>
      <w:r>
        <w:t>£1</w:t>
      </w:r>
      <w:r w:rsidR="002A0F90">
        <w:t>7</w:t>
      </w:r>
      <w:r w:rsidR="0057766F">
        <w:t>5</w:t>
      </w:r>
      <w:r>
        <w:t>k one off reduction of the contingency budget to balance the 2024/25 budget whilst awaiting the 2024/25 Finance settlement which could bring in some other opportunities to balance the budget.</w:t>
      </w:r>
    </w:p>
    <w:p w14:paraId="4FCCD99A" w14:textId="77777777" w:rsidR="003468E3" w:rsidRPr="00D666A8" w:rsidRDefault="003468E3" w:rsidP="00D666A8">
      <w:pPr>
        <w:jc w:val="both"/>
        <w:rPr>
          <w:rFonts w:ascii="Calibri" w:hAnsi="Calibri"/>
          <w:sz w:val="22"/>
        </w:rPr>
      </w:pPr>
    </w:p>
    <w:p w14:paraId="49E07C0A" w14:textId="5D512752" w:rsidR="00182CFD" w:rsidRPr="00D666A8" w:rsidRDefault="00182CFD" w:rsidP="00182CFD">
      <w:pPr>
        <w:pStyle w:val="ListParagraph"/>
        <w:numPr>
          <w:ilvl w:val="0"/>
          <w:numId w:val="16"/>
        </w:numPr>
        <w:jc w:val="both"/>
        <w:rPr>
          <w:rFonts w:ascii="Calibri" w:hAnsi="Calibri"/>
          <w:sz w:val="22"/>
        </w:rPr>
      </w:pPr>
      <w:r>
        <w:t xml:space="preserve">In 2023/24, £6.822m of </w:t>
      </w:r>
      <w:r w:rsidR="002F14FC">
        <w:t>social</w:t>
      </w:r>
      <w:r>
        <w:t xml:space="preserve"> care funding was awarded for 2 years and initially it was felt that it was possible that the grant might have to be used in 2025/26 for Social Care reform</w:t>
      </w:r>
      <w:r w:rsidR="00F079F0">
        <w:t>.</w:t>
      </w:r>
      <w:r>
        <w:t xml:space="preserve"> </w:t>
      </w:r>
      <w:r w:rsidR="002F14FC">
        <w:t>Therefore,</w:t>
      </w:r>
      <w:r>
        <w:t xml:space="preserve"> in arriving at the original budget gap of £13.143m in 2025/26, it had been assumed that the grant would be removed</w:t>
      </w:r>
      <w:r w:rsidR="00F079F0">
        <w:t>,</w:t>
      </w:r>
      <w:r>
        <w:t xml:space="preserve"> resulting in an increase of the gap from £6.321m to £13.143m.  It is now widely assumed that this grant will not be removed and therefore </w:t>
      </w:r>
      <w:r w:rsidR="00F079F0">
        <w:t>T</w:t>
      </w:r>
      <w:r>
        <w:t>able 1 reverses that assumption which improves the 2024/25 position by £6.822m.</w:t>
      </w:r>
    </w:p>
    <w:p w14:paraId="3E56E500" w14:textId="77777777" w:rsidR="003468E3" w:rsidRPr="00D666A8" w:rsidRDefault="003468E3" w:rsidP="00D666A8">
      <w:pPr>
        <w:jc w:val="both"/>
        <w:rPr>
          <w:rFonts w:ascii="Calibri" w:hAnsi="Calibri"/>
          <w:sz w:val="22"/>
        </w:rPr>
      </w:pPr>
    </w:p>
    <w:p w14:paraId="36D0951D" w14:textId="515F0866" w:rsidR="00224B3E" w:rsidRPr="00D666A8" w:rsidRDefault="003468E3" w:rsidP="003468E3">
      <w:pPr>
        <w:pStyle w:val="ListParagraph"/>
        <w:numPr>
          <w:ilvl w:val="0"/>
          <w:numId w:val="16"/>
        </w:numPr>
        <w:jc w:val="both"/>
        <w:rPr>
          <w:rFonts w:ascii="Calibri" w:hAnsi="Calibri"/>
          <w:sz w:val="22"/>
        </w:rPr>
      </w:pPr>
      <w:r w:rsidRPr="003468E3">
        <w:rPr>
          <w:rFonts w:cs="Arial"/>
          <w:szCs w:val="24"/>
        </w:rPr>
        <w:t>Capital Flexibilities are assumed for a further year in 2025/26 which enables the Council to charge transformation costs to capital and thereby reduce the cost to the revenue budget.  £1.25m is assumed for 2025/26 as a one-off basis.</w:t>
      </w:r>
    </w:p>
    <w:p w14:paraId="6F7C80A4" w14:textId="77777777" w:rsidR="003468E3" w:rsidRPr="00D666A8" w:rsidRDefault="003468E3" w:rsidP="00D666A8">
      <w:pPr>
        <w:pStyle w:val="ListParagraph"/>
        <w:rPr>
          <w:rFonts w:ascii="Calibri" w:hAnsi="Calibri"/>
          <w:sz w:val="22"/>
        </w:rPr>
      </w:pPr>
    </w:p>
    <w:p w14:paraId="40A87C02" w14:textId="0E0334B1" w:rsidR="003468E3" w:rsidRDefault="003468E3" w:rsidP="00182CFD">
      <w:pPr>
        <w:pStyle w:val="ListParagraph"/>
        <w:numPr>
          <w:ilvl w:val="0"/>
          <w:numId w:val="16"/>
        </w:numPr>
        <w:jc w:val="both"/>
        <w:rPr>
          <w:rFonts w:cs="Arial"/>
          <w:szCs w:val="24"/>
        </w:rPr>
      </w:pPr>
      <w:r>
        <w:rPr>
          <w:rFonts w:cs="Arial"/>
          <w:szCs w:val="24"/>
        </w:rPr>
        <w:t xml:space="preserve">Capital financing savings of £3m are assumed on a </w:t>
      </w:r>
      <w:r w:rsidR="000B69F5">
        <w:rPr>
          <w:rFonts w:cs="Arial"/>
          <w:szCs w:val="24"/>
        </w:rPr>
        <w:t>one-off</w:t>
      </w:r>
      <w:r>
        <w:rPr>
          <w:rFonts w:cs="Arial"/>
          <w:szCs w:val="24"/>
        </w:rPr>
        <w:t xml:space="preserve"> basis as a result of slippage expected in the capital programme based on past experience.</w:t>
      </w:r>
    </w:p>
    <w:p w14:paraId="1BF8E32B" w14:textId="77777777" w:rsidR="003468E3" w:rsidRPr="003468E3" w:rsidRDefault="003468E3" w:rsidP="00D666A8">
      <w:pPr>
        <w:pStyle w:val="ListParagraph"/>
        <w:rPr>
          <w:rFonts w:cs="Arial"/>
          <w:szCs w:val="24"/>
        </w:rPr>
      </w:pPr>
    </w:p>
    <w:p w14:paraId="0DDF8828" w14:textId="1F3147A3" w:rsidR="003468E3" w:rsidRDefault="003468E3" w:rsidP="00182CFD">
      <w:pPr>
        <w:pStyle w:val="ListParagraph"/>
        <w:numPr>
          <w:ilvl w:val="0"/>
          <w:numId w:val="16"/>
        </w:numPr>
        <w:jc w:val="both"/>
        <w:rPr>
          <w:rFonts w:cs="Arial"/>
          <w:szCs w:val="24"/>
        </w:rPr>
      </w:pPr>
      <w:r>
        <w:rPr>
          <w:rFonts w:cs="Arial"/>
          <w:szCs w:val="24"/>
        </w:rPr>
        <w:t xml:space="preserve">Treasury Management savings of £650k are assumed in 2024/25 which will offset a previous saving not achieved in overall Management savings.  </w:t>
      </w:r>
    </w:p>
    <w:p w14:paraId="3E4D713C" w14:textId="77777777" w:rsidR="003468E3" w:rsidRPr="003468E3" w:rsidRDefault="003468E3" w:rsidP="00D666A8">
      <w:pPr>
        <w:pStyle w:val="ListParagraph"/>
        <w:rPr>
          <w:rFonts w:cs="Arial"/>
          <w:szCs w:val="24"/>
        </w:rPr>
      </w:pPr>
    </w:p>
    <w:p w14:paraId="40960D09" w14:textId="6347ED57" w:rsidR="003468E3" w:rsidRDefault="004000F3" w:rsidP="00182CFD">
      <w:pPr>
        <w:pStyle w:val="ListParagraph"/>
        <w:numPr>
          <w:ilvl w:val="0"/>
          <w:numId w:val="16"/>
        </w:numPr>
        <w:jc w:val="both"/>
        <w:rPr>
          <w:rFonts w:cs="Arial"/>
          <w:szCs w:val="24"/>
        </w:rPr>
      </w:pPr>
      <w:r>
        <w:rPr>
          <w:rFonts w:cs="Arial"/>
          <w:szCs w:val="24"/>
        </w:rPr>
        <w:t xml:space="preserve">The Council has received some cash rebates from West London Waste Authority of £1.6m and £2.4m respectively in 2022/23 and 2023/24 as a result </w:t>
      </w:r>
      <w:r w:rsidRPr="00560EB4">
        <w:rPr>
          <w:rFonts w:cs="Arial"/>
          <w:szCs w:val="24"/>
        </w:rPr>
        <w:t>of e</w:t>
      </w:r>
      <w:r w:rsidR="00560EB4" w:rsidRPr="00560EB4">
        <w:rPr>
          <w:rFonts w:cs="Arial"/>
          <w:szCs w:val="24"/>
        </w:rPr>
        <w:t>nergy income</w:t>
      </w:r>
      <w:r w:rsidRPr="00560EB4">
        <w:rPr>
          <w:rFonts w:cs="Arial"/>
          <w:szCs w:val="24"/>
        </w:rPr>
        <w:t xml:space="preserve">.  </w:t>
      </w:r>
      <w:r w:rsidR="00560EB4" w:rsidRPr="00560EB4">
        <w:rPr>
          <w:rStyle w:val="ui-provider"/>
        </w:rPr>
        <w:t>The energy</w:t>
      </w:r>
      <w:r w:rsidR="00560EB4">
        <w:rPr>
          <w:rStyle w:val="ui-provider"/>
        </w:rPr>
        <w:t xml:space="preserve"> from waste facility generates electricity which then generates an income for the WLWA. A decision was made to reimburse a proportion of the energy income to the six constituent boroughs. </w:t>
      </w:r>
      <w:r>
        <w:rPr>
          <w:rFonts w:cs="Arial"/>
          <w:szCs w:val="24"/>
        </w:rPr>
        <w:t>Therefore, the budget assumes £1m for a further 2 years but then this is reversed out in 2026/27</w:t>
      </w:r>
      <w:r w:rsidR="00F079F0">
        <w:rPr>
          <w:rFonts w:cs="Arial"/>
          <w:szCs w:val="24"/>
        </w:rPr>
        <w:t>, since it cannot be assumed to continue indefinitely.</w:t>
      </w:r>
    </w:p>
    <w:p w14:paraId="1C91F0D6" w14:textId="77777777" w:rsidR="004000F3" w:rsidRPr="004000F3" w:rsidRDefault="004000F3" w:rsidP="00D666A8">
      <w:pPr>
        <w:pStyle w:val="ListParagraph"/>
        <w:rPr>
          <w:rFonts w:cs="Arial"/>
          <w:szCs w:val="24"/>
        </w:rPr>
      </w:pPr>
    </w:p>
    <w:p w14:paraId="2872AC7E" w14:textId="4D1DD0CC" w:rsidR="004000F3" w:rsidRPr="002A0F90" w:rsidRDefault="004000F3" w:rsidP="00182CFD">
      <w:pPr>
        <w:pStyle w:val="ListParagraph"/>
        <w:numPr>
          <w:ilvl w:val="0"/>
          <w:numId w:val="16"/>
        </w:numPr>
        <w:jc w:val="both"/>
        <w:rPr>
          <w:rFonts w:cs="Arial"/>
          <w:szCs w:val="24"/>
        </w:rPr>
      </w:pPr>
      <w:r w:rsidRPr="002A0F90">
        <w:rPr>
          <w:rFonts w:cs="Arial"/>
          <w:szCs w:val="24"/>
        </w:rPr>
        <w:t>As a result of a review of the existing Capital Programme, it has been possible to remove some surplus capital budgets and therefore reducing capital financing costs by a net £</w:t>
      </w:r>
      <w:r w:rsidR="001723FA" w:rsidRPr="002A0F90">
        <w:rPr>
          <w:rFonts w:cs="Arial"/>
          <w:szCs w:val="24"/>
        </w:rPr>
        <w:t>28</w:t>
      </w:r>
      <w:r w:rsidR="0057766F">
        <w:rPr>
          <w:rFonts w:cs="Arial"/>
          <w:szCs w:val="24"/>
        </w:rPr>
        <w:t>6</w:t>
      </w:r>
      <w:r w:rsidRPr="002A0F90">
        <w:rPr>
          <w:rFonts w:cs="Arial"/>
          <w:szCs w:val="24"/>
        </w:rPr>
        <w:t>k across the MTFS period</w:t>
      </w:r>
      <w:r w:rsidR="00D95F52" w:rsidRPr="002A0F90">
        <w:rPr>
          <w:rFonts w:cs="Arial"/>
          <w:szCs w:val="24"/>
        </w:rPr>
        <w:t xml:space="preserve"> (-£</w:t>
      </w:r>
      <w:r w:rsidR="001723FA" w:rsidRPr="002A0F90">
        <w:rPr>
          <w:rFonts w:cs="Arial"/>
          <w:szCs w:val="24"/>
        </w:rPr>
        <w:t>182</w:t>
      </w:r>
      <w:r w:rsidR="00D95F52" w:rsidRPr="002A0F90">
        <w:rPr>
          <w:rFonts w:cs="Arial"/>
          <w:szCs w:val="24"/>
        </w:rPr>
        <w:t>k 2024/25, £92k 2025/26 and -£196k 2026/27)</w:t>
      </w:r>
      <w:r w:rsidRPr="002A0F90">
        <w:rPr>
          <w:rFonts w:cs="Arial"/>
          <w:szCs w:val="24"/>
        </w:rPr>
        <w:t>.</w:t>
      </w:r>
    </w:p>
    <w:p w14:paraId="45B2C6C1" w14:textId="3AAF515C" w:rsidR="004000F3" w:rsidRDefault="004000F3" w:rsidP="00D666A8">
      <w:pPr>
        <w:pStyle w:val="ListParagraph"/>
        <w:rPr>
          <w:rFonts w:cs="Arial"/>
          <w:szCs w:val="24"/>
        </w:rPr>
      </w:pPr>
    </w:p>
    <w:p w14:paraId="72D10625" w14:textId="57E59D78" w:rsidR="00615C75" w:rsidRDefault="00615C75" w:rsidP="00D666A8">
      <w:pPr>
        <w:pStyle w:val="ListParagraph"/>
        <w:rPr>
          <w:rFonts w:cs="Arial"/>
          <w:szCs w:val="24"/>
        </w:rPr>
      </w:pPr>
    </w:p>
    <w:p w14:paraId="1ED6F151" w14:textId="77777777" w:rsidR="00615C75" w:rsidRPr="004000F3" w:rsidRDefault="00615C75" w:rsidP="00D666A8">
      <w:pPr>
        <w:pStyle w:val="ListParagraph"/>
        <w:rPr>
          <w:rFonts w:cs="Arial"/>
          <w:szCs w:val="24"/>
        </w:rPr>
      </w:pPr>
    </w:p>
    <w:p w14:paraId="79763A40" w14:textId="28EB3334" w:rsidR="004000F3" w:rsidRPr="00D666A8" w:rsidRDefault="004000F3" w:rsidP="00D666A8">
      <w:pPr>
        <w:pStyle w:val="ListParagraph"/>
        <w:numPr>
          <w:ilvl w:val="0"/>
          <w:numId w:val="16"/>
        </w:numPr>
        <w:jc w:val="both"/>
        <w:rPr>
          <w:rFonts w:cs="Arial"/>
          <w:szCs w:val="24"/>
        </w:rPr>
      </w:pPr>
      <w:r>
        <w:rPr>
          <w:rFonts w:cs="Arial"/>
          <w:szCs w:val="24"/>
        </w:rPr>
        <w:lastRenderedPageBreak/>
        <w:t xml:space="preserve">The cost of the 2023/24 Capital Programme was approved as part of the 2023/24 budget setting process, but as the cost of £1.5m fell into 2026/27 which was last year outside of the MTFS period, the cost of £1.5m is now included. </w:t>
      </w:r>
    </w:p>
    <w:bookmarkEnd w:id="6"/>
    <w:p w14:paraId="44EA20B7" w14:textId="4EFC3FD8" w:rsidR="006768EB" w:rsidRDefault="006768EB" w:rsidP="00224B3E">
      <w:pPr>
        <w:jc w:val="both"/>
        <w:rPr>
          <w:rFonts w:cs="Arial"/>
          <w:szCs w:val="24"/>
        </w:rPr>
      </w:pPr>
    </w:p>
    <w:p w14:paraId="66844474" w14:textId="60AE8FA2" w:rsidR="000B00A0" w:rsidRDefault="00122ECF" w:rsidP="000B00A0">
      <w:pPr>
        <w:pStyle w:val="ListParagraph"/>
        <w:numPr>
          <w:ilvl w:val="0"/>
          <w:numId w:val="16"/>
        </w:numPr>
        <w:jc w:val="both"/>
        <w:rPr>
          <w:rFonts w:cs="Arial"/>
          <w:szCs w:val="24"/>
        </w:rPr>
      </w:pPr>
      <w:r w:rsidRPr="000B00A0">
        <w:rPr>
          <w:rFonts w:cs="Arial"/>
          <w:szCs w:val="24"/>
        </w:rPr>
        <w:t>The pay award for 202</w:t>
      </w:r>
      <w:r w:rsidR="004000F3" w:rsidRPr="000B00A0">
        <w:rPr>
          <w:rFonts w:cs="Arial"/>
          <w:szCs w:val="24"/>
        </w:rPr>
        <w:t>3</w:t>
      </w:r>
      <w:r w:rsidRPr="000B00A0">
        <w:rPr>
          <w:rFonts w:cs="Arial"/>
          <w:szCs w:val="24"/>
        </w:rPr>
        <w:t>/2</w:t>
      </w:r>
      <w:r w:rsidR="004000F3" w:rsidRPr="000B00A0">
        <w:rPr>
          <w:rFonts w:cs="Arial"/>
          <w:szCs w:val="24"/>
        </w:rPr>
        <w:t>4</w:t>
      </w:r>
      <w:r w:rsidRPr="000B00A0">
        <w:rPr>
          <w:rFonts w:cs="Arial"/>
          <w:szCs w:val="24"/>
        </w:rPr>
        <w:t xml:space="preserve"> has recently been agreed and cost £</w:t>
      </w:r>
      <w:r w:rsidR="004000F3" w:rsidRPr="000B00A0">
        <w:rPr>
          <w:rFonts w:cs="Arial"/>
          <w:szCs w:val="24"/>
        </w:rPr>
        <w:t>7.2</w:t>
      </w:r>
      <w:r w:rsidRPr="000B00A0">
        <w:rPr>
          <w:rFonts w:cs="Arial"/>
          <w:szCs w:val="24"/>
        </w:rPr>
        <w:t xml:space="preserve">m, an approximate </w:t>
      </w:r>
      <w:r w:rsidR="004000F3" w:rsidRPr="000B00A0">
        <w:rPr>
          <w:rFonts w:cs="Arial"/>
          <w:szCs w:val="24"/>
        </w:rPr>
        <w:t>7</w:t>
      </w:r>
      <w:r w:rsidRPr="000B00A0">
        <w:rPr>
          <w:rFonts w:cs="Arial"/>
          <w:szCs w:val="24"/>
        </w:rPr>
        <w:t>% uplift against the pay bill.  The 202</w:t>
      </w:r>
      <w:r w:rsidR="004000F3" w:rsidRPr="000B00A0">
        <w:rPr>
          <w:rFonts w:cs="Arial"/>
          <w:szCs w:val="24"/>
        </w:rPr>
        <w:t>3</w:t>
      </w:r>
      <w:r w:rsidRPr="000B00A0">
        <w:rPr>
          <w:rFonts w:cs="Arial"/>
          <w:szCs w:val="24"/>
        </w:rPr>
        <w:t>/2</w:t>
      </w:r>
      <w:r w:rsidR="004000F3" w:rsidRPr="000B00A0">
        <w:rPr>
          <w:rFonts w:cs="Arial"/>
          <w:szCs w:val="24"/>
        </w:rPr>
        <w:t>4</w:t>
      </w:r>
      <w:r w:rsidRPr="000B00A0">
        <w:rPr>
          <w:rFonts w:cs="Arial"/>
          <w:szCs w:val="24"/>
        </w:rPr>
        <w:t xml:space="preserve"> budget </w:t>
      </w:r>
      <w:r w:rsidR="009009D5" w:rsidRPr="000B00A0">
        <w:rPr>
          <w:rFonts w:cs="Arial"/>
          <w:szCs w:val="24"/>
        </w:rPr>
        <w:t>included a</w:t>
      </w:r>
      <w:r w:rsidR="003110A4" w:rsidRPr="000B00A0">
        <w:rPr>
          <w:rFonts w:cs="Arial"/>
          <w:szCs w:val="24"/>
        </w:rPr>
        <w:t xml:space="preserve"> provision of £</w:t>
      </w:r>
      <w:r w:rsidR="004000F3" w:rsidRPr="000B00A0">
        <w:rPr>
          <w:rFonts w:cs="Arial"/>
          <w:szCs w:val="24"/>
        </w:rPr>
        <w:t>4</w:t>
      </w:r>
      <w:r w:rsidR="003110A4" w:rsidRPr="000B00A0">
        <w:rPr>
          <w:rFonts w:cs="Arial"/>
          <w:szCs w:val="24"/>
        </w:rPr>
        <w:t xml:space="preserve">m </w:t>
      </w:r>
      <w:r w:rsidRPr="000B00A0">
        <w:rPr>
          <w:rFonts w:cs="Arial"/>
          <w:szCs w:val="24"/>
        </w:rPr>
        <w:t xml:space="preserve">and </w:t>
      </w:r>
      <w:r w:rsidR="004000F3" w:rsidRPr="000B00A0">
        <w:rPr>
          <w:rFonts w:cs="Arial"/>
          <w:szCs w:val="24"/>
        </w:rPr>
        <w:t>there were other budgets (non-pay inflation and corporate budgets) of £2.4m available to fund the pay award, which leaves an £800k shortfall</w:t>
      </w:r>
      <w:r w:rsidR="000B00A0" w:rsidRPr="000B00A0">
        <w:rPr>
          <w:rFonts w:cs="Arial"/>
          <w:szCs w:val="24"/>
        </w:rPr>
        <w:t xml:space="preserve"> that need to be built into the </w:t>
      </w:r>
      <w:r w:rsidR="000B69F5">
        <w:rPr>
          <w:rFonts w:cs="Arial"/>
          <w:szCs w:val="24"/>
        </w:rPr>
        <w:t>2024/25 budget</w:t>
      </w:r>
      <w:r w:rsidR="000B00A0" w:rsidRPr="000B00A0">
        <w:rPr>
          <w:rFonts w:cs="Arial"/>
          <w:szCs w:val="24"/>
        </w:rPr>
        <w:t xml:space="preserve">.  To offset the pressure, a corporate growth budget of £755k </w:t>
      </w:r>
      <w:r w:rsidR="00D95F52">
        <w:rPr>
          <w:rFonts w:cs="Arial"/>
          <w:szCs w:val="24"/>
        </w:rPr>
        <w:t xml:space="preserve">is being </w:t>
      </w:r>
      <w:r w:rsidR="001723FA">
        <w:rPr>
          <w:rFonts w:cs="Arial"/>
          <w:szCs w:val="24"/>
        </w:rPr>
        <w:t>r</w:t>
      </w:r>
      <w:r w:rsidR="000B00A0" w:rsidRPr="000B00A0">
        <w:rPr>
          <w:rFonts w:cs="Arial"/>
          <w:szCs w:val="24"/>
        </w:rPr>
        <w:t>educed to fund it.</w:t>
      </w:r>
    </w:p>
    <w:p w14:paraId="789B7F29" w14:textId="77777777" w:rsidR="000B00A0" w:rsidRPr="000B00A0" w:rsidRDefault="000B00A0" w:rsidP="00D666A8">
      <w:pPr>
        <w:pStyle w:val="ListParagraph"/>
        <w:rPr>
          <w:rFonts w:cs="Arial"/>
          <w:szCs w:val="24"/>
        </w:rPr>
      </w:pPr>
    </w:p>
    <w:p w14:paraId="4FF156CB" w14:textId="6D8AC022" w:rsidR="000B00A0" w:rsidRDefault="000B00A0" w:rsidP="000B00A0">
      <w:pPr>
        <w:pStyle w:val="ListParagraph"/>
        <w:numPr>
          <w:ilvl w:val="0"/>
          <w:numId w:val="16"/>
        </w:numPr>
        <w:jc w:val="both"/>
        <w:rPr>
          <w:rFonts w:cs="Arial"/>
          <w:szCs w:val="24"/>
        </w:rPr>
      </w:pPr>
      <w:r>
        <w:rPr>
          <w:rFonts w:cs="Arial"/>
          <w:szCs w:val="24"/>
        </w:rPr>
        <w:t xml:space="preserve">In terms of 2024/25,2025/26 and 2026/27, </w:t>
      </w:r>
      <w:r w:rsidR="000B69F5">
        <w:rPr>
          <w:rFonts w:cs="Arial"/>
          <w:szCs w:val="24"/>
        </w:rPr>
        <w:t xml:space="preserve">pay award </w:t>
      </w:r>
      <w:r>
        <w:rPr>
          <w:rFonts w:cs="Arial"/>
          <w:szCs w:val="24"/>
        </w:rPr>
        <w:t xml:space="preserve">budgets have been assumed of £5.5m, £5m and £3m respectively.  Over the past </w:t>
      </w:r>
      <w:r w:rsidR="00F079F0">
        <w:rPr>
          <w:rFonts w:cs="Arial"/>
          <w:szCs w:val="24"/>
        </w:rPr>
        <w:t>few</w:t>
      </w:r>
      <w:r>
        <w:rPr>
          <w:rFonts w:cs="Arial"/>
          <w:szCs w:val="24"/>
        </w:rPr>
        <w:t xml:space="preserve"> years, the pay awards have been agreed very late </w:t>
      </w:r>
      <w:r w:rsidR="000B69F5">
        <w:rPr>
          <w:rFonts w:cs="Arial"/>
          <w:szCs w:val="24"/>
        </w:rPr>
        <w:t xml:space="preserve">in the financial year </w:t>
      </w:r>
      <w:r w:rsidR="00256606">
        <w:rPr>
          <w:rFonts w:cs="Arial"/>
          <w:szCs w:val="24"/>
        </w:rPr>
        <w:t>a</w:t>
      </w:r>
      <w:r>
        <w:rPr>
          <w:rFonts w:cs="Arial"/>
          <w:szCs w:val="24"/>
        </w:rPr>
        <w:t xml:space="preserve">nd for both 2022/23 and 2023/24, the pay agreements have been reached around October time which makes it very difficult for budgeting purposes. </w:t>
      </w:r>
    </w:p>
    <w:p w14:paraId="38EA80AA" w14:textId="3ABACC8A" w:rsidR="0045296A" w:rsidRDefault="0045296A" w:rsidP="00224B3E">
      <w:pPr>
        <w:jc w:val="both"/>
        <w:rPr>
          <w:rFonts w:cs="Arial"/>
          <w:szCs w:val="24"/>
        </w:rPr>
      </w:pPr>
    </w:p>
    <w:p w14:paraId="2B459CC8" w14:textId="1C460DD3" w:rsidR="0045296A" w:rsidRPr="00256606" w:rsidRDefault="0045296A" w:rsidP="00D666A8">
      <w:pPr>
        <w:pStyle w:val="ListParagraph"/>
        <w:numPr>
          <w:ilvl w:val="0"/>
          <w:numId w:val="17"/>
        </w:numPr>
        <w:jc w:val="both"/>
        <w:rPr>
          <w:rFonts w:cs="Arial"/>
          <w:szCs w:val="24"/>
        </w:rPr>
      </w:pPr>
      <w:r w:rsidRPr="00256606">
        <w:rPr>
          <w:rFonts w:cs="Arial"/>
          <w:szCs w:val="24"/>
        </w:rPr>
        <w:t>Non pay inflation, which covers areas such as energy costs and contractual up lifts, i</w:t>
      </w:r>
      <w:r w:rsidR="00256606">
        <w:rPr>
          <w:rFonts w:cs="Arial"/>
          <w:szCs w:val="24"/>
        </w:rPr>
        <w:t xml:space="preserve">s set at £1m pa in 2024/25 and 2025/26 and </w:t>
      </w:r>
      <w:r w:rsidR="00D95F52">
        <w:rPr>
          <w:rFonts w:cs="Arial"/>
          <w:szCs w:val="24"/>
        </w:rPr>
        <w:t>is</w:t>
      </w:r>
      <w:r w:rsidR="00F745F5" w:rsidRPr="00256606">
        <w:rPr>
          <w:rFonts w:cs="Arial"/>
          <w:szCs w:val="24"/>
        </w:rPr>
        <w:t xml:space="preserve"> increased by a further £1m </w:t>
      </w:r>
      <w:r w:rsidR="00256606">
        <w:rPr>
          <w:rFonts w:cs="Arial"/>
          <w:szCs w:val="24"/>
        </w:rPr>
        <w:t>for 2026/27</w:t>
      </w:r>
      <w:r w:rsidR="00F745F5" w:rsidRPr="00256606">
        <w:rPr>
          <w:rFonts w:cs="Arial"/>
          <w:szCs w:val="24"/>
        </w:rPr>
        <w:t>.</w:t>
      </w:r>
    </w:p>
    <w:p w14:paraId="4FAB0614" w14:textId="6F151C4F" w:rsidR="00F745F5" w:rsidRDefault="00F745F5" w:rsidP="00224B3E">
      <w:pPr>
        <w:jc w:val="both"/>
        <w:rPr>
          <w:rFonts w:cs="Arial"/>
          <w:szCs w:val="24"/>
        </w:rPr>
      </w:pPr>
    </w:p>
    <w:p w14:paraId="4AC8F23E" w14:textId="6A78CED8" w:rsidR="00EF1B08" w:rsidRPr="00D666A8" w:rsidRDefault="00EF1B08" w:rsidP="003110A4">
      <w:pPr>
        <w:ind w:left="720"/>
        <w:jc w:val="both"/>
        <w:rPr>
          <w:b/>
        </w:rPr>
      </w:pPr>
      <w:r w:rsidRPr="00D666A8">
        <w:rPr>
          <w:b/>
          <w:bCs/>
        </w:rPr>
        <w:t>Directorate Pressures/Savings</w:t>
      </w:r>
      <w:r w:rsidRPr="00D666A8">
        <w:rPr>
          <w:b/>
        </w:rPr>
        <w:t xml:space="preserve"> </w:t>
      </w:r>
    </w:p>
    <w:p w14:paraId="41C2DE06" w14:textId="6BCC615F" w:rsidR="00427DAD" w:rsidRDefault="00427DAD" w:rsidP="00256606">
      <w:pPr>
        <w:ind w:left="720"/>
        <w:jc w:val="both"/>
        <w:rPr>
          <w:rFonts w:cs="Arial"/>
          <w:szCs w:val="24"/>
        </w:rPr>
      </w:pPr>
    </w:p>
    <w:p w14:paraId="1AC06782" w14:textId="57DD6584" w:rsidR="00427DAD" w:rsidRPr="00E770E1" w:rsidRDefault="00256606" w:rsidP="000A7631">
      <w:pPr>
        <w:pStyle w:val="ListParagraph"/>
        <w:numPr>
          <w:ilvl w:val="1"/>
          <w:numId w:val="22"/>
        </w:numPr>
        <w:jc w:val="both"/>
        <w:rPr>
          <w:rFonts w:cs="Arial"/>
          <w:szCs w:val="24"/>
        </w:rPr>
      </w:pPr>
      <w:r w:rsidRPr="00E770E1">
        <w:rPr>
          <w:rFonts w:cs="Arial"/>
          <w:szCs w:val="24"/>
        </w:rPr>
        <w:t xml:space="preserve">The rest of the figures in Table 1 relate to </w:t>
      </w:r>
      <w:r w:rsidR="00427DAD" w:rsidRPr="00E770E1">
        <w:rPr>
          <w:rFonts w:cs="Arial"/>
          <w:szCs w:val="24"/>
        </w:rPr>
        <w:t xml:space="preserve">Directorate </w:t>
      </w:r>
      <w:r w:rsidRPr="00E770E1">
        <w:rPr>
          <w:rFonts w:cs="Arial"/>
          <w:szCs w:val="24"/>
        </w:rPr>
        <w:t>pressures</w:t>
      </w:r>
      <w:r w:rsidR="00EF1B08" w:rsidRPr="00E770E1">
        <w:rPr>
          <w:rFonts w:cs="Arial"/>
          <w:szCs w:val="24"/>
        </w:rPr>
        <w:t xml:space="preserve"> in the main</w:t>
      </w:r>
      <w:r w:rsidR="00F079F0" w:rsidRPr="00E770E1">
        <w:rPr>
          <w:rFonts w:cs="Arial"/>
          <w:szCs w:val="24"/>
        </w:rPr>
        <w:t>,</w:t>
      </w:r>
      <w:r w:rsidR="00EF1B08" w:rsidRPr="00E770E1">
        <w:rPr>
          <w:rFonts w:cs="Arial"/>
          <w:szCs w:val="24"/>
        </w:rPr>
        <w:t xml:space="preserve"> with a small number of savings</w:t>
      </w:r>
      <w:r w:rsidRPr="00E770E1">
        <w:rPr>
          <w:rFonts w:cs="Arial"/>
          <w:szCs w:val="24"/>
        </w:rPr>
        <w:t xml:space="preserve"> which are detailed in </w:t>
      </w:r>
      <w:r w:rsidR="00427DAD" w:rsidRPr="00E770E1">
        <w:rPr>
          <w:rFonts w:cs="Arial"/>
          <w:szCs w:val="24"/>
        </w:rPr>
        <w:t xml:space="preserve">Appendix </w:t>
      </w:r>
      <w:r w:rsidR="00F14862" w:rsidRPr="00E770E1">
        <w:rPr>
          <w:rFonts w:cs="Arial"/>
          <w:szCs w:val="24"/>
        </w:rPr>
        <w:t>1A</w:t>
      </w:r>
      <w:r w:rsidR="00427DAD" w:rsidRPr="00E770E1">
        <w:rPr>
          <w:rFonts w:cs="Arial"/>
          <w:szCs w:val="24"/>
        </w:rPr>
        <w:t>.</w:t>
      </w:r>
      <w:r w:rsidR="000B69F5" w:rsidRPr="00E770E1">
        <w:rPr>
          <w:rFonts w:cs="Arial"/>
          <w:szCs w:val="24"/>
        </w:rPr>
        <w:t xml:space="preserve">  As can be seen from Table 3 and Appendix 1A, there is growth of £6.7m, £3.6m and £1.6m built into the MTFS across the 3 years 2024/25 to 2026/27, which total £11.9m. Growth in the Adult social care budget accounts for £9.8m of the net growth.</w:t>
      </w:r>
    </w:p>
    <w:p w14:paraId="1E4F38B3" w14:textId="603EFF78" w:rsidR="00C56EF6" w:rsidRDefault="00C56EF6" w:rsidP="0057766F">
      <w:pPr>
        <w:jc w:val="both"/>
        <w:rPr>
          <w:rFonts w:cs="Arial"/>
          <w:szCs w:val="24"/>
        </w:rPr>
      </w:pPr>
    </w:p>
    <w:p w14:paraId="52FBC40B" w14:textId="088462FE" w:rsidR="00BE55B8" w:rsidRPr="00E770E1" w:rsidRDefault="00484633" w:rsidP="000A7631">
      <w:pPr>
        <w:pStyle w:val="ListParagraph"/>
        <w:numPr>
          <w:ilvl w:val="1"/>
          <w:numId w:val="22"/>
        </w:numPr>
        <w:jc w:val="both"/>
        <w:rPr>
          <w:rFonts w:cs="Arial"/>
          <w:szCs w:val="24"/>
        </w:rPr>
      </w:pPr>
      <w:bookmarkStart w:id="7" w:name="_Hlk58479709"/>
      <w:r w:rsidRPr="00E770E1">
        <w:rPr>
          <w:rFonts w:cs="Arial"/>
          <w:szCs w:val="24"/>
        </w:rPr>
        <w:t>After all the</w:t>
      </w:r>
      <w:r w:rsidR="00A55AF7" w:rsidRPr="00E770E1">
        <w:rPr>
          <w:rFonts w:cs="Arial"/>
          <w:szCs w:val="24"/>
        </w:rPr>
        <w:t xml:space="preserve"> </w:t>
      </w:r>
      <w:r w:rsidRPr="00E770E1">
        <w:rPr>
          <w:rFonts w:cs="Arial"/>
          <w:szCs w:val="24"/>
        </w:rPr>
        <w:t>adjustments</w:t>
      </w:r>
      <w:r w:rsidR="00A55AF7" w:rsidRPr="00E770E1">
        <w:rPr>
          <w:rFonts w:cs="Arial"/>
          <w:szCs w:val="24"/>
        </w:rPr>
        <w:t>, the</w:t>
      </w:r>
      <w:r w:rsidRPr="00E770E1">
        <w:rPr>
          <w:rFonts w:cs="Arial"/>
          <w:szCs w:val="24"/>
        </w:rPr>
        <w:t xml:space="preserve"> result i</w:t>
      </w:r>
      <w:r w:rsidR="00A55AF7" w:rsidRPr="00E770E1">
        <w:rPr>
          <w:rFonts w:cs="Arial"/>
          <w:szCs w:val="24"/>
        </w:rPr>
        <w:t>s</w:t>
      </w:r>
      <w:r w:rsidRPr="00E770E1">
        <w:rPr>
          <w:rFonts w:cs="Arial"/>
          <w:szCs w:val="24"/>
        </w:rPr>
        <w:t xml:space="preserve"> an estimated gap across the MTFS </w:t>
      </w:r>
      <w:r w:rsidR="00A55AF7" w:rsidRPr="00E770E1">
        <w:rPr>
          <w:rFonts w:cs="Arial"/>
          <w:szCs w:val="24"/>
        </w:rPr>
        <w:t xml:space="preserve">of </w:t>
      </w:r>
      <w:r w:rsidRPr="00E770E1">
        <w:rPr>
          <w:rFonts w:cs="Arial"/>
          <w:szCs w:val="24"/>
        </w:rPr>
        <w:t>£</w:t>
      </w:r>
      <w:r w:rsidR="00256606" w:rsidRPr="00E770E1">
        <w:rPr>
          <w:rFonts w:cs="Arial"/>
          <w:szCs w:val="24"/>
        </w:rPr>
        <w:t>19</w:t>
      </w:r>
      <w:r w:rsidR="00490667" w:rsidRPr="00E770E1">
        <w:rPr>
          <w:rFonts w:cs="Arial"/>
          <w:szCs w:val="24"/>
        </w:rPr>
        <w:t>.</w:t>
      </w:r>
      <w:r w:rsidR="00256606" w:rsidRPr="00E770E1">
        <w:rPr>
          <w:rFonts w:cs="Arial"/>
          <w:szCs w:val="24"/>
        </w:rPr>
        <w:t>1</w:t>
      </w:r>
      <w:r w:rsidR="002D4DE6">
        <w:rPr>
          <w:rFonts w:cs="Arial"/>
          <w:szCs w:val="24"/>
        </w:rPr>
        <w:t>98</w:t>
      </w:r>
      <w:r w:rsidR="00490667" w:rsidRPr="00E770E1">
        <w:rPr>
          <w:rFonts w:cs="Arial"/>
          <w:szCs w:val="24"/>
        </w:rPr>
        <w:t>m</w:t>
      </w:r>
      <w:r w:rsidR="00EF1B08" w:rsidRPr="00E770E1">
        <w:rPr>
          <w:rFonts w:cs="Arial"/>
          <w:szCs w:val="24"/>
        </w:rPr>
        <w:t xml:space="preserve"> as follows:</w:t>
      </w:r>
    </w:p>
    <w:p w14:paraId="2D4DBEEF" w14:textId="77777777" w:rsidR="00EF1B08" w:rsidRDefault="00EF1B08" w:rsidP="0049566F">
      <w:pPr>
        <w:ind w:left="720" w:hanging="720"/>
        <w:jc w:val="both"/>
        <w:rPr>
          <w:rFonts w:cs="Arial"/>
          <w:szCs w:val="24"/>
        </w:rPr>
      </w:pPr>
    </w:p>
    <w:p w14:paraId="364BDBE6" w14:textId="72427A8A" w:rsidR="00484633" w:rsidRDefault="00484633" w:rsidP="00A55AF7">
      <w:pPr>
        <w:ind w:firstLine="720"/>
        <w:jc w:val="both"/>
        <w:rPr>
          <w:rFonts w:cs="Arial"/>
          <w:szCs w:val="24"/>
        </w:rPr>
      </w:pPr>
      <w:r>
        <w:rPr>
          <w:rFonts w:cs="Arial"/>
          <w:szCs w:val="24"/>
        </w:rPr>
        <w:t>202</w:t>
      </w:r>
      <w:r w:rsidR="00256606">
        <w:rPr>
          <w:rFonts w:cs="Arial"/>
          <w:szCs w:val="24"/>
        </w:rPr>
        <w:t>4</w:t>
      </w:r>
      <w:r>
        <w:rPr>
          <w:rFonts w:cs="Arial"/>
          <w:szCs w:val="24"/>
        </w:rPr>
        <w:t>/2</w:t>
      </w:r>
      <w:r w:rsidR="00256606">
        <w:rPr>
          <w:rFonts w:cs="Arial"/>
          <w:szCs w:val="24"/>
        </w:rPr>
        <w:t>5</w:t>
      </w:r>
      <w:r>
        <w:rPr>
          <w:rFonts w:cs="Arial"/>
          <w:szCs w:val="24"/>
        </w:rPr>
        <w:t xml:space="preserve"> £</w:t>
      </w:r>
      <w:r w:rsidR="00256606">
        <w:rPr>
          <w:rFonts w:cs="Arial"/>
          <w:szCs w:val="24"/>
        </w:rPr>
        <w:t>0</w:t>
      </w:r>
      <w:r>
        <w:rPr>
          <w:rFonts w:cs="Arial"/>
          <w:szCs w:val="24"/>
        </w:rPr>
        <w:t>m</w:t>
      </w:r>
    </w:p>
    <w:p w14:paraId="6A9CE9D9" w14:textId="3D7C530C" w:rsidR="00484633" w:rsidRDefault="00484633" w:rsidP="00A55AF7">
      <w:pPr>
        <w:ind w:firstLine="720"/>
        <w:jc w:val="both"/>
        <w:rPr>
          <w:rFonts w:cs="Arial"/>
          <w:szCs w:val="24"/>
        </w:rPr>
      </w:pPr>
      <w:r>
        <w:rPr>
          <w:rFonts w:cs="Arial"/>
          <w:szCs w:val="24"/>
        </w:rPr>
        <w:t>202</w:t>
      </w:r>
      <w:r w:rsidR="00256606">
        <w:rPr>
          <w:rFonts w:cs="Arial"/>
          <w:szCs w:val="24"/>
        </w:rPr>
        <w:t>5</w:t>
      </w:r>
      <w:r>
        <w:rPr>
          <w:rFonts w:cs="Arial"/>
          <w:szCs w:val="24"/>
        </w:rPr>
        <w:t>/2</w:t>
      </w:r>
      <w:r w:rsidR="00256606">
        <w:rPr>
          <w:rFonts w:cs="Arial"/>
          <w:szCs w:val="24"/>
        </w:rPr>
        <w:t>6</w:t>
      </w:r>
      <w:r>
        <w:rPr>
          <w:rFonts w:cs="Arial"/>
          <w:szCs w:val="24"/>
        </w:rPr>
        <w:t xml:space="preserve"> £</w:t>
      </w:r>
      <w:r w:rsidR="00256606">
        <w:rPr>
          <w:rFonts w:cs="Arial"/>
          <w:szCs w:val="24"/>
        </w:rPr>
        <w:t>12.4</w:t>
      </w:r>
      <w:r w:rsidR="002D4DE6">
        <w:rPr>
          <w:rFonts w:cs="Arial"/>
          <w:szCs w:val="24"/>
        </w:rPr>
        <w:t>66</w:t>
      </w:r>
      <w:r w:rsidR="00256606">
        <w:rPr>
          <w:rFonts w:cs="Arial"/>
          <w:szCs w:val="24"/>
        </w:rPr>
        <w:t>m</w:t>
      </w:r>
    </w:p>
    <w:p w14:paraId="5E2FBA17" w14:textId="26CE6872" w:rsidR="00484633" w:rsidRPr="00484633" w:rsidRDefault="00484633" w:rsidP="00A55AF7">
      <w:pPr>
        <w:ind w:firstLine="709"/>
        <w:jc w:val="both"/>
        <w:rPr>
          <w:rFonts w:cs="Arial"/>
          <w:szCs w:val="24"/>
        </w:rPr>
      </w:pPr>
      <w:r>
        <w:rPr>
          <w:rFonts w:cs="Arial"/>
          <w:szCs w:val="24"/>
        </w:rPr>
        <w:t>202</w:t>
      </w:r>
      <w:r w:rsidR="00256606">
        <w:rPr>
          <w:rFonts w:cs="Arial"/>
          <w:szCs w:val="24"/>
        </w:rPr>
        <w:t>6</w:t>
      </w:r>
      <w:r>
        <w:rPr>
          <w:rFonts w:cs="Arial"/>
          <w:szCs w:val="24"/>
        </w:rPr>
        <w:t>/2</w:t>
      </w:r>
      <w:r w:rsidR="00256606">
        <w:rPr>
          <w:rFonts w:cs="Arial"/>
          <w:szCs w:val="24"/>
        </w:rPr>
        <w:t>7</w:t>
      </w:r>
      <w:r>
        <w:rPr>
          <w:rFonts w:cs="Arial"/>
          <w:szCs w:val="24"/>
        </w:rPr>
        <w:t xml:space="preserve"> £</w:t>
      </w:r>
      <w:r w:rsidR="00256606">
        <w:rPr>
          <w:rFonts w:cs="Arial"/>
          <w:szCs w:val="24"/>
        </w:rPr>
        <w:t>6.732</w:t>
      </w:r>
      <w:r>
        <w:rPr>
          <w:rFonts w:cs="Arial"/>
          <w:szCs w:val="24"/>
        </w:rPr>
        <w:t>m</w:t>
      </w:r>
    </w:p>
    <w:p w14:paraId="0C1CF484" w14:textId="72E76113" w:rsidR="00BE55B8" w:rsidRDefault="00BE55B8" w:rsidP="00A564DC">
      <w:pPr>
        <w:pStyle w:val="ListParagraph"/>
        <w:ind w:left="1080"/>
        <w:jc w:val="both"/>
        <w:rPr>
          <w:bCs/>
          <w:color w:val="FF0000"/>
        </w:rPr>
      </w:pPr>
    </w:p>
    <w:p w14:paraId="3183F896" w14:textId="34C205C8" w:rsidR="00BE55B8" w:rsidRPr="00E770E1" w:rsidRDefault="00EF1B08" w:rsidP="000A7631">
      <w:pPr>
        <w:pStyle w:val="ListParagraph"/>
        <w:numPr>
          <w:ilvl w:val="1"/>
          <w:numId w:val="22"/>
        </w:numPr>
        <w:jc w:val="both"/>
        <w:rPr>
          <w:bCs/>
        </w:rPr>
      </w:pPr>
      <w:r w:rsidRPr="00E770E1">
        <w:rPr>
          <w:bCs/>
        </w:rPr>
        <w:t xml:space="preserve">Between now and the Final Budget in February 2024, </w:t>
      </w:r>
      <w:r w:rsidR="00F079F0" w:rsidRPr="00E770E1">
        <w:rPr>
          <w:bCs/>
        </w:rPr>
        <w:t xml:space="preserve">and further in 2024, </w:t>
      </w:r>
      <w:r w:rsidRPr="00E770E1">
        <w:rPr>
          <w:bCs/>
        </w:rPr>
        <w:t>the n</w:t>
      </w:r>
      <w:r w:rsidR="00A55AF7" w:rsidRPr="00E770E1">
        <w:rPr>
          <w:bCs/>
        </w:rPr>
        <w:t xml:space="preserve">ext </w:t>
      </w:r>
      <w:r w:rsidRPr="00E770E1">
        <w:rPr>
          <w:bCs/>
        </w:rPr>
        <w:t xml:space="preserve">steps </w:t>
      </w:r>
      <w:r w:rsidR="00A55AF7" w:rsidRPr="00E770E1">
        <w:rPr>
          <w:bCs/>
        </w:rPr>
        <w:t>are:</w:t>
      </w:r>
    </w:p>
    <w:p w14:paraId="56FB03E2" w14:textId="76D0D18F" w:rsidR="00A55AF7" w:rsidRDefault="00A55AF7" w:rsidP="00A55AF7">
      <w:pPr>
        <w:ind w:left="709" w:firstLine="11"/>
        <w:jc w:val="both"/>
        <w:rPr>
          <w:bCs/>
        </w:rPr>
      </w:pPr>
    </w:p>
    <w:p w14:paraId="440460B2" w14:textId="0318F98A" w:rsidR="00A55AF7" w:rsidRDefault="00A55AF7" w:rsidP="00537E00">
      <w:pPr>
        <w:pStyle w:val="ListParagraph"/>
        <w:numPr>
          <w:ilvl w:val="0"/>
          <w:numId w:val="8"/>
        </w:numPr>
        <w:jc w:val="both"/>
        <w:rPr>
          <w:bCs/>
        </w:rPr>
      </w:pPr>
      <w:r>
        <w:rPr>
          <w:bCs/>
        </w:rPr>
        <w:t>Clarify the implications on the MTFS of the Indicative Financial Settlement when received in late December</w:t>
      </w:r>
    </w:p>
    <w:p w14:paraId="7029C36D" w14:textId="7A300198" w:rsidR="00A55AF7" w:rsidRDefault="00EF1B08" w:rsidP="00537E00">
      <w:pPr>
        <w:pStyle w:val="ListParagraph"/>
        <w:numPr>
          <w:ilvl w:val="0"/>
          <w:numId w:val="8"/>
        </w:numPr>
        <w:jc w:val="both"/>
        <w:rPr>
          <w:bCs/>
        </w:rPr>
      </w:pPr>
      <w:r>
        <w:rPr>
          <w:bCs/>
        </w:rPr>
        <w:t>Continue to review/refine</w:t>
      </w:r>
      <w:r w:rsidR="00A55AF7">
        <w:rPr>
          <w:bCs/>
        </w:rPr>
        <w:t xml:space="preserve"> pressures, to reduce the impact </w:t>
      </w:r>
      <w:r>
        <w:rPr>
          <w:bCs/>
        </w:rPr>
        <w:t xml:space="preserve">of the gap </w:t>
      </w:r>
      <w:r w:rsidR="00A55AF7">
        <w:rPr>
          <w:bCs/>
        </w:rPr>
        <w:t>in future years</w:t>
      </w:r>
      <w:r>
        <w:rPr>
          <w:bCs/>
        </w:rPr>
        <w:t xml:space="preserve"> of 2025/26 and 2026/27</w:t>
      </w:r>
      <w:r w:rsidR="00A55AF7">
        <w:rPr>
          <w:bCs/>
        </w:rPr>
        <w:t xml:space="preserve">. </w:t>
      </w:r>
    </w:p>
    <w:p w14:paraId="478D3CA4" w14:textId="1EBA0B3F" w:rsidR="00EF1B08" w:rsidRDefault="00EF1B08" w:rsidP="00EF1B08">
      <w:pPr>
        <w:pStyle w:val="ListParagraph"/>
        <w:ind w:left="1150"/>
        <w:jc w:val="both"/>
        <w:rPr>
          <w:bCs/>
        </w:rPr>
      </w:pPr>
      <w:r>
        <w:rPr>
          <w:bCs/>
        </w:rPr>
        <w:t>Focus on efficiencies to reduce the impact of the gap in future years of the MTFS.</w:t>
      </w:r>
    </w:p>
    <w:p w14:paraId="5AB0108F" w14:textId="36F47968" w:rsidR="00BE55B8" w:rsidRDefault="00BE55B8" w:rsidP="00001227">
      <w:pPr>
        <w:jc w:val="both"/>
        <w:rPr>
          <w:bCs/>
        </w:rPr>
      </w:pPr>
    </w:p>
    <w:p w14:paraId="5BE26179" w14:textId="58BD4230" w:rsidR="00615C75" w:rsidRDefault="00615C75" w:rsidP="00001227">
      <w:pPr>
        <w:jc w:val="both"/>
        <w:rPr>
          <w:bCs/>
        </w:rPr>
      </w:pPr>
    </w:p>
    <w:p w14:paraId="6FA11802" w14:textId="367D20AE" w:rsidR="00615C75" w:rsidRDefault="00615C75" w:rsidP="00001227">
      <w:pPr>
        <w:jc w:val="both"/>
        <w:rPr>
          <w:bCs/>
        </w:rPr>
      </w:pPr>
    </w:p>
    <w:p w14:paraId="795B80E9" w14:textId="77777777" w:rsidR="00615C75" w:rsidRPr="00001227" w:rsidRDefault="00615C75" w:rsidP="00001227">
      <w:pPr>
        <w:jc w:val="both"/>
        <w:rPr>
          <w:bCs/>
        </w:rPr>
      </w:pPr>
    </w:p>
    <w:bookmarkEnd w:id="7"/>
    <w:p w14:paraId="1A1C3819" w14:textId="77777777" w:rsidR="008C0512" w:rsidRDefault="008C0512" w:rsidP="00875D89">
      <w:pPr>
        <w:jc w:val="both"/>
      </w:pPr>
    </w:p>
    <w:p w14:paraId="7F7ED67F" w14:textId="1124CFB2" w:rsidR="00F126A4" w:rsidRPr="00E900D7" w:rsidRDefault="0046793A" w:rsidP="00F43D1B">
      <w:pPr>
        <w:ind w:firstLine="709"/>
        <w:jc w:val="both"/>
        <w:rPr>
          <w:b/>
        </w:rPr>
      </w:pPr>
      <w:r w:rsidRPr="00E900D7">
        <w:rPr>
          <w:b/>
        </w:rPr>
        <w:lastRenderedPageBreak/>
        <w:t>Growth &amp; Savings</w:t>
      </w:r>
      <w:r w:rsidR="0078297E" w:rsidRPr="00E900D7">
        <w:rPr>
          <w:b/>
        </w:rPr>
        <w:t xml:space="preserve"> </w:t>
      </w:r>
    </w:p>
    <w:p w14:paraId="711AFF3B" w14:textId="77777777" w:rsidR="00947E86" w:rsidRPr="00226A43" w:rsidRDefault="00947E86" w:rsidP="00F43D1B">
      <w:pPr>
        <w:ind w:firstLine="709"/>
        <w:jc w:val="both"/>
        <w:rPr>
          <w:b/>
          <w:highlight w:val="yellow"/>
        </w:rPr>
      </w:pPr>
    </w:p>
    <w:p w14:paraId="111183CF" w14:textId="141BF3E1" w:rsidR="00967747" w:rsidRDefault="00967747" w:rsidP="000A7631">
      <w:pPr>
        <w:pStyle w:val="ListParagraph"/>
        <w:numPr>
          <w:ilvl w:val="1"/>
          <w:numId w:val="22"/>
        </w:numPr>
        <w:jc w:val="both"/>
      </w:pPr>
      <w:r w:rsidRPr="006D4A23">
        <w:t xml:space="preserve">Table 2 below summarises the savings and growth previously agreed as part </w:t>
      </w:r>
      <w:r w:rsidRPr="00256606">
        <w:t>of the 202</w:t>
      </w:r>
      <w:r w:rsidR="00256606" w:rsidRPr="00256606">
        <w:t>3</w:t>
      </w:r>
      <w:r w:rsidRPr="00256606">
        <w:t>/2</w:t>
      </w:r>
      <w:r w:rsidR="00256606" w:rsidRPr="00256606">
        <w:t>4</w:t>
      </w:r>
      <w:r w:rsidRPr="00256606">
        <w:t xml:space="preserve"> </w:t>
      </w:r>
      <w:r w:rsidR="00256606" w:rsidRPr="00256606">
        <w:t xml:space="preserve">budget </w:t>
      </w:r>
      <w:r w:rsidRPr="00256606">
        <w:t xml:space="preserve">process.   This shows that there </w:t>
      </w:r>
      <w:r w:rsidR="00B31AF7">
        <w:t>are net savings of</w:t>
      </w:r>
      <w:r w:rsidRPr="00256606">
        <w:t xml:space="preserve"> £</w:t>
      </w:r>
      <w:r w:rsidR="00D3628A">
        <w:t>7</w:t>
      </w:r>
      <w:r w:rsidR="00256606" w:rsidRPr="00D666A8">
        <w:t>.</w:t>
      </w:r>
      <w:r w:rsidR="00D3628A">
        <w:t>791</w:t>
      </w:r>
      <w:r w:rsidRPr="00256606">
        <w:t>m in 202</w:t>
      </w:r>
      <w:r w:rsidR="00256606" w:rsidRPr="00256606">
        <w:t>4</w:t>
      </w:r>
      <w:r w:rsidRPr="00256606">
        <w:t>/2</w:t>
      </w:r>
      <w:r w:rsidR="00256606" w:rsidRPr="00256606">
        <w:t>5</w:t>
      </w:r>
      <w:r w:rsidRPr="00256606">
        <w:t xml:space="preserve"> and £</w:t>
      </w:r>
      <w:r w:rsidR="00B31AF7">
        <w:t xml:space="preserve">1.209m </w:t>
      </w:r>
      <w:r w:rsidRPr="00256606">
        <w:t>in 202</w:t>
      </w:r>
      <w:r w:rsidR="00256606" w:rsidRPr="00256606">
        <w:t>5</w:t>
      </w:r>
      <w:r w:rsidRPr="00256606">
        <w:t>/2</w:t>
      </w:r>
      <w:r w:rsidR="00256606" w:rsidRPr="00256606">
        <w:t>6</w:t>
      </w:r>
      <w:r w:rsidRPr="00256606">
        <w:t xml:space="preserve">.  Therefore, </w:t>
      </w:r>
      <w:r w:rsidR="00B31AF7">
        <w:t>total savings of</w:t>
      </w:r>
      <w:r w:rsidRPr="00256606">
        <w:t xml:space="preserve"> </w:t>
      </w:r>
      <w:r w:rsidR="00B31AF7">
        <w:t>£9.</w:t>
      </w:r>
      <w:r w:rsidR="00D3628A">
        <w:t>0</w:t>
      </w:r>
      <w:r w:rsidR="00B31AF7">
        <w:t xml:space="preserve">m </w:t>
      </w:r>
      <w:r w:rsidRPr="00256606">
        <w:t>across the 2 years</w:t>
      </w:r>
      <w:r>
        <w:t>.</w:t>
      </w:r>
    </w:p>
    <w:p w14:paraId="40F0EEB2" w14:textId="0957F5BF" w:rsidR="00256606" w:rsidRDefault="00256606" w:rsidP="00AD2D60">
      <w:pPr>
        <w:ind w:left="709" w:hanging="709"/>
        <w:jc w:val="both"/>
      </w:pPr>
    </w:p>
    <w:p w14:paraId="3866932D" w14:textId="0589C6CA" w:rsidR="00256606" w:rsidRDefault="00256606" w:rsidP="0057766F">
      <w:pPr>
        <w:ind w:firstLine="567"/>
        <w:jc w:val="both"/>
        <w:rPr>
          <w:b/>
        </w:rPr>
      </w:pPr>
      <w:r w:rsidRPr="006D4A23">
        <w:rPr>
          <w:b/>
        </w:rPr>
        <w:t>Table 2: Savings and Growth from the 202</w:t>
      </w:r>
      <w:r>
        <w:rPr>
          <w:b/>
        </w:rPr>
        <w:t>3</w:t>
      </w:r>
      <w:r w:rsidRPr="006D4A23">
        <w:rPr>
          <w:b/>
        </w:rPr>
        <w:t>/2</w:t>
      </w:r>
      <w:r>
        <w:rPr>
          <w:b/>
        </w:rPr>
        <w:t>4</w:t>
      </w:r>
      <w:r w:rsidRPr="006D4A23">
        <w:rPr>
          <w:b/>
        </w:rPr>
        <w:t xml:space="preserve"> Budget Process </w:t>
      </w:r>
    </w:p>
    <w:p w14:paraId="5228F1B3" w14:textId="11762050" w:rsidR="00256606" w:rsidRDefault="00256606" w:rsidP="00256606">
      <w:pPr>
        <w:ind w:left="709" w:hanging="142"/>
        <w:jc w:val="both"/>
        <w:rPr>
          <w:b/>
        </w:rPr>
      </w:pPr>
      <w:r w:rsidRPr="006D4A23">
        <w:rPr>
          <w:b/>
        </w:rPr>
        <w:t>(Detail in Appendix 1B)</w:t>
      </w:r>
    </w:p>
    <w:p w14:paraId="7BC26059" w14:textId="6AF72004" w:rsidR="00D3628A" w:rsidRDefault="00D3628A" w:rsidP="00256606">
      <w:pPr>
        <w:ind w:left="709" w:hanging="142"/>
        <w:jc w:val="both"/>
        <w:rPr>
          <w:b/>
        </w:rPr>
      </w:pPr>
    </w:p>
    <w:p w14:paraId="6FA27EC5" w14:textId="02956403" w:rsidR="00256606" w:rsidRPr="00615C75" w:rsidRDefault="00D3628A" w:rsidP="00615C75">
      <w:pPr>
        <w:ind w:left="709" w:hanging="142"/>
        <w:jc w:val="both"/>
        <w:rPr>
          <w:b/>
        </w:rPr>
      </w:pPr>
      <w:r>
        <w:rPr>
          <w:b/>
          <w:noProof/>
        </w:rPr>
        <w:drawing>
          <wp:inline distT="0" distB="0" distL="0" distR="0" wp14:anchorId="62AB60DA" wp14:editId="07FD14BE">
            <wp:extent cx="4914265" cy="27901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265" cy="2790190"/>
                    </a:xfrm>
                    <a:prstGeom prst="rect">
                      <a:avLst/>
                    </a:prstGeom>
                    <a:noFill/>
                  </pic:spPr>
                </pic:pic>
              </a:graphicData>
            </a:graphic>
          </wp:inline>
        </w:drawing>
      </w:r>
    </w:p>
    <w:p w14:paraId="74EFC794" w14:textId="6B3E49B6" w:rsidR="00967747" w:rsidRDefault="00967747" w:rsidP="00967747">
      <w:pPr>
        <w:jc w:val="both"/>
      </w:pPr>
    </w:p>
    <w:p w14:paraId="428FEE17" w14:textId="1F2F5728" w:rsidR="00967747" w:rsidRPr="00E770E1" w:rsidRDefault="004E6F66" w:rsidP="000A7631">
      <w:pPr>
        <w:pStyle w:val="ListParagraph"/>
        <w:numPr>
          <w:ilvl w:val="1"/>
          <w:numId w:val="22"/>
        </w:numPr>
        <w:jc w:val="both"/>
        <w:rPr>
          <w:b/>
          <w:u w:val="single"/>
        </w:rPr>
      </w:pPr>
      <w:r>
        <w:t>T</w:t>
      </w:r>
      <w:r w:rsidR="00967747" w:rsidRPr="006D4A23">
        <w:t xml:space="preserve">able 3 summarises “new” growth </w:t>
      </w:r>
      <w:r w:rsidR="00256606">
        <w:t xml:space="preserve">and savings </w:t>
      </w:r>
      <w:r w:rsidR="00967747" w:rsidRPr="006D4A23">
        <w:t>from the current 202</w:t>
      </w:r>
      <w:r w:rsidR="00256606">
        <w:t>4</w:t>
      </w:r>
      <w:r w:rsidR="00967747" w:rsidRPr="006D4A23">
        <w:t>/</w:t>
      </w:r>
      <w:r w:rsidR="0098531C" w:rsidRPr="006D4A23">
        <w:t>2</w:t>
      </w:r>
      <w:r w:rsidR="00256606">
        <w:t>5</w:t>
      </w:r>
      <w:r w:rsidR="0098531C" w:rsidRPr="006D4A23">
        <w:t xml:space="preserve"> budget</w:t>
      </w:r>
      <w:r w:rsidR="00967747" w:rsidRPr="006D4A23">
        <w:t xml:space="preserve"> setting process.  </w:t>
      </w:r>
      <w:r w:rsidR="00967747">
        <w:t>This shows that there is net growth of £</w:t>
      </w:r>
      <w:r w:rsidR="00B31AF7">
        <w:t>6.668m</w:t>
      </w:r>
      <w:r w:rsidR="00967747">
        <w:t xml:space="preserve"> in 202</w:t>
      </w:r>
      <w:r w:rsidR="002B757F">
        <w:t>4</w:t>
      </w:r>
      <w:r w:rsidR="00967747">
        <w:t>/2</w:t>
      </w:r>
      <w:r w:rsidR="002B757F">
        <w:t>5</w:t>
      </w:r>
      <w:r w:rsidR="00B31AF7">
        <w:t>, £3.65m in 2025/26 and £1.623m in 2026/27.</w:t>
      </w:r>
      <w:r w:rsidR="00967747">
        <w:t xml:space="preserve"> Therefore, this i</w:t>
      </w:r>
      <w:r w:rsidR="00CA6B1B">
        <w:t>s</w:t>
      </w:r>
      <w:r w:rsidR="00967747">
        <w:t xml:space="preserve"> net growth across the </w:t>
      </w:r>
      <w:r w:rsidR="00B31AF7">
        <w:t>3</w:t>
      </w:r>
      <w:r w:rsidR="00967747">
        <w:t xml:space="preserve"> years of £1</w:t>
      </w:r>
      <w:r w:rsidR="00B31AF7">
        <w:t>1.941m</w:t>
      </w:r>
      <w:r w:rsidR="00967747">
        <w:t xml:space="preserve">.  </w:t>
      </w:r>
    </w:p>
    <w:p w14:paraId="12D96479" w14:textId="03D3D7D8" w:rsidR="0059055D" w:rsidRDefault="00967747" w:rsidP="00D666A8">
      <w:pPr>
        <w:ind w:firstLine="567"/>
        <w:jc w:val="both"/>
        <w:rPr>
          <w:noProof/>
          <w:highlight w:val="yellow"/>
        </w:rPr>
      </w:pPr>
      <w:r>
        <w:rPr>
          <w:b/>
          <w:u w:val="single"/>
        </w:rPr>
        <w:t xml:space="preserve"> </w:t>
      </w:r>
    </w:p>
    <w:p w14:paraId="1F6BF25D" w14:textId="78988EF1" w:rsidR="009E2134" w:rsidRDefault="00FC1BAE" w:rsidP="006C181F">
      <w:pPr>
        <w:ind w:firstLine="567"/>
        <w:rPr>
          <w:b/>
        </w:rPr>
      </w:pPr>
      <w:r>
        <w:rPr>
          <w:b/>
        </w:rPr>
        <w:t>Table 3:Savings and Growth from the 202</w:t>
      </w:r>
      <w:r w:rsidR="00256606">
        <w:rPr>
          <w:b/>
        </w:rPr>
        <w:t>4</w:t>
      </w:r>
      <w:r>
        <w:rPr>
          <w:b/>
        </w:rPr>
        <w:t>/2</w:t>
      </w:r>
      <w:r w:rsidR="00256606">
        <w:rPr>
          <w:b/>
        </w:rPr>
        <w:t>5</w:t>
      </w:r>
      <w:r>
        <w:rPr>
          <w:b/>
        </w:rPr>
        <w:t xml:space="preserve"> Budget Process </w:t>
      </w:r>
    </w:p>
    <w:p w14:paraId="6E4809F6" w14:textId="1BB090C4" w:rsidR="00FC1BAE" w:rsidRDefault="00FC1BAE" w:rsidP="006C181F">
      <w:pPr>
        <w:ind w:firstLine="567"/>
        <w:rPr>
          <w:b/>
        </w:rPr>
      </w:pPr>
      <w:r>
        <w:rPr>
          <w:b/>
        </w:rPr>
        <w:t>(</w:t>
      </w:r>
      <w:r w:rsidR="006C181F">
        <w:rPr>
          <w:b/>
        </w:rPr>
        <w:t>Detail</w:t>
      </w:r>
      <w:r>
        <w:rPr>
          <w:b/>
        </w:rPr>
        <w:t xml:space="preserve"> is set out in Appendix 1A)</w:t>
      </w:r>
    </w:p>
    <w:p w14:paraId="168DF518" w14:textId="77777777" w:rsidR="0059055D" w:rsidRDefault="0059055D" w:rsidP="00366537">
      <w:pPr>
        <w:ind w:left="709"/>
        <w:jc w:val="both"/>
        <w:rPr>
          <w:noProof/>
          <w:highlight w:val="yellow"/>
        </w:rPr>
      </w:pPr>
    </w:p>
    <w:p w14:paraId="35C8B64E" w14:textId="762F57CB" w:rsidR="00382B0A" w:rsidRDefault="00B31AF7" w:rsidP="00D666A8">
      <w:pPr>
        <w:ind w:firstLine="567"/>
        <w:jc w:val="both"/>
        <w:rPr>
          <w:bCs/>
        </w:rPr>
      </w:pPr>
      <w:r>
        <w:rPr>
          <w:noProof/>
          <w:highlight w:val="yellow"/>
        </w:rPr>
        <w:drawing>
          <wp:inline distT="0" distB="0" distL="0" distR="0" wp14:anchorId="4D42EE60" wp14:editId="173333E2">
            <wp:extent cx="4944110" cy="26212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4110" cy="2621280"/>
                    </a:xfrm>
                    <a:prstGeom prst="rect">
                      <a:avLst/>
                    </a:prstGeom>
                    <a:noFill/>
                  </pic:spPr>
                </pic:pic>
              </a:graphicData>
            </a:graphic>
          </wp:inline>
        </w:drawing>
      </w:r>
    </w:p>
    <w:p w14:paraId="427B85DD" w14:textId="77777777" w:rsidR="00382B0A" w:rsidRDefault="00382B0A" w:rsidP="00D666A8">
      <w:pPr>
        <w:ind w:firstLine="567"/>
        <w:jc w:val="both"/>
        <w:rPr>
          <w:noProof/>
          <w:highlight w:val="yellow"/>
        </w:rPr>
      </w:pPr>
    </w:p>
    <w:p w14:paraId="6D1BBC49" w14:textId="04DC2995" w:rsidR="00B31AF7" w:rsidRPr="00382B0A" w:rsidRDefault="00B31AF7" w:rsidP="000A7631">
      <w:pPr>
        <w:jc w:val="both"/>
        <w:rPr>
          <w:bCs/>
        </w:rPr>
      </w:pPr>
      <w:bookmarkStart w:id="8" w:name="_Hlk89123873"/>
      <w:r w:rsidRPr="006D4A23">
        <w:t>The summary information in the tables is support</w:t>
      </w:r>
      <w:r>
        <w:t>ed</w:t>
      </w:r>
      <w:r w:rsidRPr="006D4A23">
        <w:t xml:space="preserve"> by the details in appendices 1A and 1B</w:t>
      </w:r>
      <w:r>
        <w:t>.</w:t>
      </w:r>
    </w:p>
    <w:p w14:paraId="65A0BAB9" w14:textId="34996DA2" w:rsidR="00537428" w:rsidRDefault="00B31AF7" w:rsidP="00615C75">
      <w:pPr>
        <w:ind w:left="567" w:hanging="567"/>
        <w:rPr>
          <w:b/>
        </w:rPr>
      </w:pPr>
      <w:r w:rsidRPr="00D666A8">
        <w:rPr>
          <w:bCs/>
        </w:rPr>
        <w:lastRenderedPageBreak/>
        <w:tab/>
      </w:r>
      <w:r w:rsidR="00324804" w:rsidRPr="00E0475E">
        <w:rPr>
          <w:b/>
        </w:rPr>
        <w:t>C</w:t>
      </w:r>
      <w:r w:rsidR="008C0512">
        <w:rPr>
          <w:b/>
        </w:rPr>
        <w:t xml:space="preserve">APITAL </w:t>
      </w:r>
      <w:r w:rsidR="00324804" w:rsidRPr="00E0475E">
        <w:rPr>
          <w:b/>
        </w:rPr>
        <w:t>R</w:t>
      </w:r>
      <w:r w:rsidR="008C0512">
        <w:rPr>
          <w:b/>
        </w:rPr>
        <w:t>ECEIPTS</w:t>
      </w:r>
      <w:r w:rsidR="00324804" w:rsidRPr="00E0475E">
        <w:rPr>
          <w:b/>
        </w:rPr>
        <w:t xml:space="preserve"> F</w:t>
      </w:r>
      <w:r w:rsidR="008C0512">
        <w:rPr>
          <w:b/>
        </w:rPr>
        <w:t>LEXIBILITY</w:t>
      </w:r>
      <w:r w:rsidR="00180FFD">
        <w:rPr>
          <w:b/>
        </w:rPr>
        <w:t xml:space="preserve"> </w:t>
      </w:r>
    </w:p>
    <w:p w14:paraId="2A8B1262" w14:textId="77777777" w:rsidR="00947E86" w:rsidRDefault="00947E86" w:rsidP="00180FFD">
      <w:pPr>
        <w:ind w:firstLine="709"/>
        <w:rPr>
          <w:b/>
        </w:rPr>
      </w:pPr>
    </w:p>
    <w:p w14:paraId="71CD7C9A" w14:textId="403B7644" w:rsidR="00537428" w:rsidRDefault="00537428" w:rsidP="00D20548">
      <w:pPr>
        <w:pStyle w:val="ListParagraph"/>
        <w:numPr>
          <w:ilvl w:val="1"/>
          <w:numId w:val="22"/>
        </w:numPr>
        <w:jc w:val="both"/>
      </w:pPr>
      <w:r>
        <w:t xml:space="preserve">In 2016 the government announced the Capital Receipts Flexibility Scheme to support local authorities to deliver more efficient and sustainable services by allowing them to spend up to 100% of their fixed assets receipts on the revenue costs of </w:t>
      </w:r>
      <w:r w:rsidR="00D95F52">
        <w:t xml:space="preserve">transformation </w:t>
      </w:r>
      <w:r>
        <w:t xml:space="preserve">projects. </w:t>
      </w:r>
      <w:bookmarkStart w:id="9" w:name="_Hlk89123761"/>
      <w:r>
        <w:t xml:space="preserve">The flexibility </w:t>
      </w:r>
      <w:r w:rsidR="00180FFD">
        <w:t>has been extended on numerous occasions and is currently in place until 31 March 2025</w:t>
      </w:r>
      <w:r w:rsidR="00C4528F">
        <w:t xml:space="preserve"> but is likely to be extended and will be confirmed in the 19 December Finance settlement.</w:t>
      </w:r>
    </w:p>
    <w:bookmarkEnd w:id="9"/>
    <w:p w14:paraId="61424F01" w14:textId="77777777" w:rsidR="00537428" w:rsidRDefault="00537428" w:rsidP="009525A9">
      <w:pPr>
        <w:ind w:left="709" w:hanging="709"/>
        <w:jc w:val="both"/>
      </w:pPr>
    </w:p>
    <w:p w14:paraId="107322D8" w14:textId="60715CED" w:rsidR="00085178" w:rsidRDefault="00C4528F" w:rsidP="00D20548">
      <w:pPr>
        <w:pStyle w:val="ListParagraph"/>
        <w:numPr>
          <w:ilvl w:val="1"/>
          <w:numId w:val="22"/>
        </w:numPr>
        <w:jc w:val="both"/>
      </w:pPr>
      <w:r>
        <w:t xml:space="preserve">As part of the 2023/24 Budget process, the use of capital flexibilities was in place for 2023/24 and 2024/25 and then being reversed out in 2025/26.  Table 1 assumes a continuation for a further year into 2025/26 but then is discontinued and the budget is reinstated for 2026/27. </w:t>
      </w:r>
      <w:r w:rsidR="00BF5075">
        <w:t xml:space="preserve">The </w:t>
      </w:r>
      <w:r w:rsidR="00180FFD">
        <w:t xml:space="preserve">MTFS includes a budget of £1.250m to fund the </w:t>
      </w:r>
      <w:r w:rsidR="00167DF5">
        <w:t>Regeneration Team.  The nature of this spend meets the capital flexibility criteria and the team will be funded under the capital flexibilities scheme</w:t>
      </w:r>
      <w:r w:rsidR="0089523C">
        <w:t>.</w:t>
      </w:r>
      <w:r w:rsidR="00167DF5">
        <w:t xml:space="preserve"> </w:t>
      </w:r>
      <w:r w:rsidR="00761D1D">
        <w:t>T</w:t>
      </w:r>
      <w:r w:rsidR="00167DF5">
        <w:t>he £1.250m provision is re-instated in 202</w:t>
      </w:r>
      <w:r>
        <w:t>6</w:t>
      </w:r>
      <w:r w:rsidR="00167DF5">
        <w:t>/2</w:t>
      </w:r>
      <w:r>
        <w:t xml:space="preserve">7. </w:t>
      </w:r>
    </w:p>
    <w:p w14:paraId="2C0C838C" w14:textId="362FBA7D" w:rsidR="00F12DC4" w:rsidRDefault="00F12DC4" w:rsidP="00716EAF">
      <w:pPr>
        <w:ind w:left="709" w:hanging="709"/>
        <w:jc w:val="both"/>
      </w:pPr>
    </w:p>
    <w:p w14:paraId="60121CC2" w14:textId="77777777" w:rsidR="002F7C1F" w:rsidRDefault="002F7C1F" w:rsidP="00716EAF">
      <w:pPr>
        <w:ind w:left="709" w:hanging="709"/>
        <w:jc w:val="both"/>
      </w:pPr>
    </w:p>
    <w:p w14:paraId="42D6EB23" w14:textId="4BF819CE" w:rsidR="00F14862" w:rsidRDefault="00F14862" w:rsidP="00F14862">
      <w:pPr>
        <w:pStyle w:val="ListParagraph"/>
        <w:ind w:left="0" w:firstLine="720"/>
        <w:rPr>
          <w:rFonts w:cs="Arial"/>
          <w:b/>
          <w:bCs/>
        </w:rPr>
      </w:pPr>
      <w:bookmarkStart w:id="10" w:name="_Hlk120480971"/>
      <w:r w:rsidRPr="006B54AD">
        <w:rPr>
          <w:rFonts w:cs="Arial"/>
          <w:b/>
        </w:rPr>
        <w:t>PUBLIC HEALTH FUNDING</w:t>
      </w:r>
      <w:r w:rsidRPr="00FF0697">
        <w:rPr>
          <w:rFonts w:cs="Arial"/>
        </w:rPr>
        <w:t xml:space="preserve"> </w:t>
      </w:r>
      <w:r w:rsidRPr="009525A9">
        <w:rPr>
          <w:rFonts w:cs="Arial"/>
          <w:b/>
          <w:bCs/>
        </w:rPr>
        <w:t>202</w:t>
      </w:r>
      <w:r w:rsidR="00B0387A">
        <w:rPr>
          <w:rFonts w:cs="Arial"/>
          <w:b/>
          <w:bCs/>
        </w:rPr>
        <w:t>4</w:t>
      </w:r>
      <w:r w:rsidRPr="009525A9">
        <w:rPr>
          <w:rFonts w:cs="Arial"/>
          <w:b/>
          <w:bCs/>
        </w:rPr>
        <w:t>/2</w:t>
      </w:r>
      <w:r w:rsidR="00B0387A">
        <w:rPr>
          <w:rFonts w:cs="Arial"/>
          <w:b/>
          <w:bCs/>
        </w:rPr>
        <w:t>5</w:t>
      </w:r>
      <w:r>
        <w:rPr>
          <w:rFonts w:cs="Arial"/>
          <w:b/>
          <w:bCs/>
        </w:rPr>
        <w:t xml:space="preserve"> </w:t>
      </w:r>
    </w:p>
    <w:p w14:paraId="7601766C" w14:textId="77777777" w:rsidR="00B0387A" w:rsidRPr="00B0387A" w:rsidRDefault="00B0387A" w:rsidP="00B0387A">
      <w:pPr>
        <w:pStyle w:val="ListParagraph"/>
        <w:ind w:left="0" w:firstLine="720"/>
        <w:rPr>
          <w:rFonts w:cs="Arial"/>
          <w:szCs w:val="24"/>
        </w:rPr>
      </w:pPr>
    </w:p>
    <w:p w14:paraId="31290C2A" w14:textId="44E33697" w:rsidR="00B0387A" w:rsidRPr="00712978" w:rsidRDefault="00B0387A" w:rsidP="00D20548">
      <w:pPr>
        <w:pStyle w:val="ListParagraph"/>
        <w:numPr>
          <w:ilvl w:val="1"/>
          <w:numId w:val="22"/>
        </w:numPr>
        <w:jc w:val="both"/>
        <w:rPr>
          <w:rFonts w:cs="Arial"/>
          <w:szCs w:val="24"/>
        </w:rPr>
      </w:pPr>
      <w:r w:rsidRPr="00712978">
        <w:rPr>
          <w:rFonts w:cs="Arial"/>
          <w:szCs w:val="24"/>
        </w:rPr>
        <w:t xml:space="preserve">In 2023/24 the total public health grant to local authorities totalled £3.529bn, with £12.007m being allocated to Harrow.  The grant is ringfenced for use on public health functions exclusively for all ages of the population and must be spent in accordance with grant conditions on expenditure incurred by local authorities for the purposes of their public health functions, as specified in Section 73B (2) of the National Health Service Act 2006.  </w:t>
      </w:r>
    </w:p>
    <w:p w14:paraId="0EC475B6" w14:textId="77777777" w:rsidR="00B0387A" w:rsidRPr="00D666A8" w:rsidRDefault="00B0387A" w:rsidP="00B0387A">
      <w:pPr>
        <w:jc w:val="both"/>
        <w:rPr>
          <w:rFonts w:cs="Arial"/>
          <w:szCs w:val="24"/>
        </w:rPr>
      </w:pPr>
    </w:p>
    <w:p w14:paraId="21E4816A" w14:textId="29895270" w:rsidR="00B0387A" w:rsidRPr="00712978" w:rsidRDefault="00F049F4" w:rsidP="00D20548">
      <w:pPr>
        <w:pStyle w:val="ListParagraph"/>
        <w:numPr>
          <w:ilvl w:val="1"/>
          <w:numId w:val="22"/>
        </w:numPr>
        <w:contextualSpacing/>
        <w:jc w:val="both"/>
        <w:rPr>
          <w:rFonts w:cs="Arial"/>
          <w:szCs w:val="24"/>
        </w:rPr>
      </w:pPr>
      <w:r w:rsidRPr="00712978">
        <w:rPr>
          <w:rFonts w:cs="Arial"/>
          <w:szCs w:val="24"/>
        </w:rPr>
        <w:t>Th</w:t>
      </w:r>
      <w:r w:rsidR="00B0387A" w:rsidRPr="00712978">
        <w:rPr>
          <w:rFonts w:cs="Arial"/>
          <w:szCs w:val="24"/>
        </w:rPr>
        <w:t xml:space="preserve">e draft Public Health commissioning intentions detailed in Appendix 3 are based on the indicative grant allocation for 2024-25 of £12.165m as advised by DHSC in March 2023 and indicate a 1.3% uplift, taking the total national funding for 2024-25 to £3.575bn.  These commissioning intentions reflect alignment with the Health &amp; Wellbeing Strategy, Borough Plan, and evidence of population priorities.  </w:t>
      </w:r>
    </w:p>
    <w:p w14:paraId="56457F1F" w14:textId="77777777" w:rsidR="00B0387A" w:rsidRPr="00D666A8" w:rsidRDefault="00B0387A" w:rsidP="00B0387A">
      <w:pPr>
        <w:jc w:val="both"/>
        <w:rPr>
          <w:rFonts w:cs="Arial"/>
          <w:szCs w:val="24"/>
        </w:rPr>
      </w:pPr>
    </w:p>
    <w:p w14:paraId="432AAA45" w14:textId="6F7297CC" w:rsidR="00B0387A" w:rsidRPr="00712978" w:rsidRDefault="00B0387A" w:rsidP="00D20548">
      <w:pPr>
        <w:pStyle w:val="ListParagraph"/>
        <w:numPr>
          <w:ilvl w:val="1"/>
          <w:numId w:val="22"/>
        </w:numPr>
        <w:contextualSpacing/>
        <w:jc w:val="both"/>
        <w:rPr>
          <w:rFonts w:cs="Arial"/>
          <w:szCs w:val="24"/>
        </w:rPr>
      </w:pPr>
      <w:r w:rsidRPr="00712978">
        <w:rPr>
          <w:rFonts w:cs="Arial"/>
          <w:szCs w:val="24"/>
        </w:rPr>
        <w:t>The Council consider that this level of funding enables the Council’s overarching statutory duties (including equality duties) to be maintained, taking account of the joint strategic needs assessment. However, if additional duties are required by Councils, and if these were unfunded, the commissioning intentions would need to be reviewed in light of the allocated grant envelope.</w:t>
      </w:r>
    </w:p>
    <w:bookmarkEnd w:id="10"/>
    <w:p w14:paraId="52D40AFA" w14:textId="77777777" w:rsidR="00F14862" w:rsidRDefault="00F14862" w:rsidP="00D666A8">
      <w:pPr>
        <w:jc w:val="both"/>
      </w:pPr>
    </w:p>
    <w:bookmarkEnd w:id="8"/>
    <w:p w14:paraId="771F6BD8" w14:textId="77777777" w:rsidR="004C1CD7" w:rsidRDefault="004C1CD7" w:rsidP="00716EAF">
      <w:pPr>
        <w:ind w:left="709" w:hanging="709"/>
        <w:jc w:val="both"/>
      </w:pPr>
    </w:p>
    <w:p w14:paraId="6118067F" w14:textId="7105684E" w:rsidR="009525A9" w:rsidRDefault="00F12DC4" w:rsidP="009525A9">
      <w:pPr>
        <w:ind w:firstLine="709"/>
        <w:rPr>
          <w:rFonts w:cs="Arial"/>
          <w:b/>
          <w:bCs/>
        </w:rPr>
      </w:pPr>
      <w:bookmarkStart w:id="11" w:name="_Hlk120480748"/>
      <w:r>
        <w:rPr>
          <w:rFonts w:cs="Arial"/>
          <w:b/>
          <w:bCs/>
        </w:rPr>
        <w:t>SCHOOLS FUNDING FOR 202</w:t>
      </w:r>
      <w:r w:rsidR="00B0387A">
        <w:rPr>
          <w:rFonts w:cs="Arial"/>
          <w:b/>
          <w:bCs/>
        </w:rPr>
        <w:t>4</w:t>
      </w:r>
      <w:r>
        <w:rPr>
          <w:rFonts w:cs="Arial"/>
          <w:b/>
          <w:bCs/>
        </w:rPr>
        <w:t>/2</w:t>
      </w:r>
      <w:r w:rsidR="00B0387A">
        <w:rPr>
          <w:rFonts w:cs="Arial"/>
          <w:b/>
          <w:bCs/>
        </w:rPr>
        <w:t>5</w:t>
      </w:r>
      <w:r w:rsidR="0078297E">
        <w:rPr>
          <w:rFonts w:cs="Arial"/>
          <w:b/>
          <w:bCs/>
        </w:rPr>
        <w:t xml:space="preserve"> </w:t>
      </w:r>
    </w:p>
    <w:p w14:paraId="4CDA19EC" w14:textId="65BEA1D6" w:rsidR="00B0387A" w:rsidRDefault="00B0387A" w:rsidP="009525A9">
      <w:pPr>
        <w:ind w:firstLine="709"/>
        <w:rPr>
          <w:rFonts w:cs="Arial"/>
          <w:b/>
          <w:bCs/>
        </w:rPr>
      </w:pPr>
    </w:p>
    <w:p w14:paraId="272FAC20" w14:textId="0D7D7CA1" w:rsidR="00B0387A" w:rsidRPr="00712978" w:rsidRDefault="00B0387A" w:rsidP="00D20548">
      <w:pPr>
        <w:pStyle w:val="ListParagraph"/>
        <w:numPr>
          <w:ilvl w:val="1"/>
          <w:numId w:val="22"/>
        </w:numPr>
        <w:contextualSpacing/>
        <w:jc w:val="both"/>
        <w:rPr>
          <w:rFonts w:ascii="Calibri" w:hAnsi="Calibri"/>
          <w:sz w:val="22"/>
        </w:rPr>
      </w:pPr>
      <w:r>
        <w:t>In 2018/19 the government introduced a new National Funding Formula (NFF) for Schools, High Needs and the Central Schools services Block. For the Schools Block this means LAs are funded based on the total of the NFF for all schools, academies, and free schools in its area. However, the final formula for distribution is determined by each Council following consultation with schools and Schools Forums.</w:t>
      </w:r>
    </w:p>
    <w:p w14:paraId="6AEB1DDD" w14:textId="77777777" w:rsidR="00B0387A" w:rsidRDefault="00B0387A" w:rsidP="00B0387A">
      <w:pPr>
        <w:ind w:left="720" w:hanging="720"/>
        <w:contextualSpacing/>
        <w:jc w:val="both"/>
      </w:pPr>
    </w:p>
    <w:p w14:paraId="58E5AA1C" w14:textId="5F0D19F3" w:rsidR="00B0387A" w:rsidRDefault="00B0387A" w:rsidP="00D20548">
      <w:pPr>
        <w:pStyle w:val="ListParagraph"/>
        <w:numPr>
          <w:ilvl w:val="1"/>
          <w:numId w:val="22"/>
        </w:numPr>
        <w:contextualSpacing/>
        <w:jc w:val="both"/>
      </w:pPr>
      <w:r>
        <w:lastRenderedPageBreak/>
        <w:t>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three years have been set based on the NFF.</w:t>
      </w:r>
    </w:p>
    <w:p w14:paraId="7DBBD3B4" w14:textId="77777777" w:rsidR="00B0387A" w:rsidRDefault="00B0387A" w:rsidP="00B0387A">
      <w:pPr>
        <w:ind w:left="720" w:hanging="720"/>
        <w:contextualSpacing/>
        <w:jc w:val="both"/>
      </w:pPr>
    </w:p>
    <w:p w14:paraId="29B590EF" w14:textId="5FED34B6" w:rsidR="00B0387A" w:rsidRDefault="00B0387A" w:rsidP="00D20548">
      <w:pPr>
        <w:pStyle w:val="ListParagraph"/>
        <w:numPr>
          <w:ilvl w:val="1"/>
          <w:numId w:val="22"/>
        </w:numPr>
        <w:contextualSpacing/>
        <w:jc w:val="both"/>
      </w:pPr>
      <w:r>
        <w:t>The NFF will therefore continue to be used to distributed school budgets for 2024/25. There are no proposed changes to the structure of the formula for 2024/25 as detailed in Appendix 4. The proposed final funding formula and final DSG allocations will be reported to Cabinet in February 2024 for approval.</w:t>
      </w:r>
    </w:p>
    <w:p w14:paraId="01002EA4" w14:textId="77777777" w:rsidR="00B0387A" w:rsidRDefault="00B0387A" w:rsidP="00D666A8">
      <w:pPr>
        <w:jc w:val="both"/>
        <w:rPr>
          <w:b/>
          <w:bCs/>
          <w:color w:val="000000"/>
          <w:lang w:eastAsia="en-GB"/>
        </w:rPr>
      </w:pPr>
      <w:bookmarkStart w:id="12" w:name="_Hlk120481207"/>
      <w:bookmarkStart w:id="13" w:name="_Hlk151649192"/>
      <w:bookmarkEnd w:id="11"/>
    </w:p>
    <w:p w14:paraId="626E522C" w14:textId="77777777" w:rsidR="00B0387A" w:rsidRDefault="00B0387A" w:rsidP="00B0387A">
      <w:pPr>
        <w:ind w:firstLine="720"/>
        <w:jc w:val="both"/>
        <w:rPr>
          <w:rFonts w:cs="Arial"/>
          <w:b/>
          <w:bCs/>
          <w:color w:val="000000"/>
          <w:sz w:val="20"/>
          <w:lang w:eastAsia="en-GB"/>
        </w:rPr>
      </w:pPr>
      <w:r w:rsidRPr="00D666A8">
        <w:rPr>
          <w:rFonts w:cs="Arial"/>
          <w:b/>
          <w:bCs/>
        </w:rPr>
        <w:t>BETTER CARE FUND (BCF) 2024/25</w:t>
      </w:r>
    </w:p>
    <w:p w14:paraId="3D535287" w14:textId="77777777" w:rsidR="00B0387A" w:rsidRDefault="00B0387A" w:rsidP="00B0387A">
      <w:pPr>
        <w:ind w:firstLine="720"/>
        <w:jc w:val="both"/>
        <w:rPr>
          <w:rFonts w:cs="Arial"/>
          <w:b/>
          <w:bCs/>
          <w:color w:val="000000"/>
          <w:sz w:val="20"/>
          <w:lang w:eastAsia="en-GB"/>
        </w:rPr>
      </w:pPr>
    </w:p>
    <w:p w14:paraId="4091D824" w14:textId="1B4CAB51" w:rsidR="00B0387A" w:rsidRPr="00D666A8" w:rsidRDefault="00B0387A" w:rsidP="00D20548">
      <w:pPr>
        <w:pStyle w:val="ListParagraph"/>
        <w:numPr>
          <w:ilvl w:val="1"/>
          <w:numId w:val="22"/>
        </w:numPr>
        <w:autoSpaceDE w:val="0"/>
        <w:autoSpaceDN w:val="0"/>
        <w:jc w:val="both"/>
      </w:pPr>
      <w:r w:rsidRPr="00D666A8">
        <w:t>The framework for the Better Care Fund (BCF) derives from the government’s mandate to the NHS which sets an objective for NHS England 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361DA16A" w14:textId="77777777" w:rsidR="00B0387A" w:rsidRPr="00D666A8" w:rsidRDefault="00B0387A" w:rsidP="00B0387A">
      <w:pPr>
        <w:autoSpaceDE w:val="0"/>
        <w:autoSpaceDN w:val="0"/>
        <w:ind w:left="709"/>
        <w:jc w:val="both"/>
      </w:pPr>
    </w:p>
    <w:p w14:paraId="29C62C29" w14:textId="6FADAFC7" w:rsidR="00B0387A" w:rsidRPr="00D666A8" w:rsidRDefault="00B0387A" w:rsidP="00D20548">
      <w:pPr>
        <w:pStyle w:val="ListParagraph"/>
        <w:numPr>
          <w:ilvl w:val="1"/>
          <w:numId w:val="22"/>
        </w:numPr>
        <w:autoSpaceDE w:val="0"/>
        <w:autoSpaceDN w:val="0"/>
        <w:jc w:val="both"/>
      </w:pPr>
      <w:r w:rsidRPr="00D666A8">
        <w:t>The BCF continues to provide a mechanism for personalised, integrated approaches to health and care that support people to remain independent at home or to return to independence after a</w:t>
      </w:r>
      <w:r w:rsidR="00016A1E">
        <w:t xml:space="preserve"> period</w:t>
      </w:r>
      <w:r w:rsidRPr="00D666A8">
        <w:t xml:space="preserv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 </w:t>
      </w:r>
    </w:p>
    <w:p w14:paraId="3298F3C4" w14:textId="77777777" w:rsidR="00B0387A" w:rsidRPr="00D666A8" w:rsidRDefault="00B0387A" w:rsidP="00B0387A">
      <w:pPr>
        <w:autoSpaceDE w:val="0"/>
        <w:autoSpaceDN w:val="0"/>
        <w:ind w:left="709"/>
        <w:jc w:val="both"/>
      </w:pPr>
    </w:p>
    <w:p w14:paraId="30CC7BFF" w14:textId="781E21C5" w:rsidR="00B0387A" w:rsidRPr="00D666A8" w:rsidRDefault="00B0387A" w:rsidP="00D20548">
      <w:pPr>
        <w:pStyle w:val="ListParagraph"/>
        <w:numPr>
          <w:ilvl w:val="1"/>
          <w:numId w:val="22"/>
        </w:numPr>
        <w:autoSpaceDE w:val="0"/>
        <w:autoSpaceDN w:val="0"/>
        <w:jc w:val="both"/>
      </w:pPr>
      <w:bookmarkStart w:id="14" w:name="_Hlk151733722"/>
      <w:r w:rsidRPr="00D666A8">
        <w:t>Following submission of the planning template covering the period 2023-2025 in August 2023, and assurance by NHS England, the 2024/25 Adults budget assumes that funding for the Protection of Social Care through the BCF will be £7.954m – an increase of 5.66% on the funding for 2023-24, reflecting the NHS funding commitments made within the spending review.   </w:t>
      </w:r>
    </w:p>
    <w:bookmarkEnd w:id="14"/>
    <w:p w14:paraId="2FBDBEA7" w14:textId="77777777" w:rsidR="00B0387A" w:rsidRPr="00D666A8" w:rsidRDefault="00B0387A" w:rsidP="00B0387A">
      <w:pPr>
        <w:autoSpaceDE w:val="0"/>
        <w:autoSpaceDN w:val="0"/>
        <w:ind w:left="720" w:hanging="720"/>
        <w:jc w:val="both"/>
      </w:pPr>
    </w:p>
    <w:p w14:paraId="1D47DE6B" w14:textId="6313CE80" w:rsidR="00B0387A" w:rsidRPr="00D666A8" w:rsidRDefault="00B0387A" w:rsidP="00D20548">
      <w:pPr>
        <w:pStyle w:val="ListParagraph"/>
        <w:numPr>
          <w:ilvl w:val="1"/>
          <w:numId w:val="22"/>
        </w:numPr>
        <w:autoSpaceDE w:val="0"/>
        <w:autoSpaceDN w:val="0"/>
        <w:jc w:val="both"/>
      </w:pPr>
      <w:r w:rsidRPr="00D666A8">
        <w:t>The total value of the Better Care Fund in Harrow for 2024-25 is £31.406m and includes a range of grants (including the Disabled Facilities and Adults Discharge Grants) and schemes across both Health and Social Care.  The Better Care Fund Policy statement and Policy Framework and Planning Requirements will provide the detailed guidance when published in early 2024 (usually March)</w:t>
      </w:r>
      <w:r w:rsidR="00946268">
        <w:t>.</w:t>
      </w:r>
      <w:r w:rsidRPr="00D666A8">
        <w:t xml:space="preserve"> </w:t>
      </w:r>
      <w:r w:rsidR="00946268">
        <w:t>T</w:t>
      </w:r>
      <w:r w:rsidRPr="00D666A8">
        <w:t xml:space="preserve">he requirements around integration and collaborative working are expected to continue.  </w:t>
      </w:r>
    </w:p>
    <w:p w14:paraId="692C68DD" w14:textId="77777777" w:rsidR="00B0387A" w:rsidRPr="00D666A8" w:rsidRDefault="00B0387A" w:rsidP="00B0387A"/>
    <w:bookmarkEnd w:id="12"/>
    <w:bookmarkEnd w:id="13"/>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638BF18B" w:rsidR="006A73FD" w:rsidRPr="00F22280" w:rsidRDefault="0084190E" w:rsidP="00380668">
      <w:pPr>
        <w:ind w:firstLine="709"/>
        <w:jc w:val="both"/>
        <w:rPr>
          <w:b/>
        </w:rPr>
      </w:pPr>
      <w:r w:rsidRPr="00F22280">
        <w:rPr>
          <w:b/>
        </w:rPr>
        <w:t>RESERVES</w:t>
      </w:r>
      <w:r w:rsidR="003549C8" w:rsidRPr="00F22280">
        <w:rPr>
          <w:b/>
        </w:rPr>
        <w:t xml:space="preserve"> AND CONTINGENCIES</w:t>
      </w:r>
      <w:r w:rsidR="00A549DD" w:rsidRPr="00F22280">
        <w:rPr>
          <w:b/>
        </w:rPr>
        <w:t xml:space="preserve"> </w:t>
      </w:r>
    </w:p>
    <w:p w14:paraId="0ABE5A22" w14:textId="77777777" w:rsidR="00CA377D" w:rsidRPr="00F22280" w:rsidRDefault="00CA377D" w:rsidP="00380668">
      <w:pPr>
        <w:ind w:firstLine="709"/>
        <w:jc w:val="both"/>
        <w:rPr>
          <w:b/>
        </w:rPr>
      </w:pPr>
    </w:p>
    <w:p w14:paraId="3C3D24E9" w14:textId="5A7B2079" w:rsidR="00F22280" w:rsidRPr="00712978" w:rsidRDefault="00F22280" w:rsidP="00D20548">
      <w:pPr>
        <w:pStyle w:val="ListParagraph"/>
        <w:numPr>
          <w:ilvl w:val="1"/>
          <w:numId w:val="22"/>
        </w:numPr>
        <w:jc w:val="both"/>
        <w:rPr>
          <w:rFonts w:cs="Arial"/>
        </w:rPr>
      </w:pPr>
      <w:r w:rsidRPr="00F22280">
        <w:t xml:space="preserve">Reserves and contingencies need to be considered in the context of their role to protect the Council’s financial standing and in the context of the overall risks that the Council faces during a continuing period of economic uncertainty.  The MTFS reflects the Council’s need to ensure an adequate level of reserves and contingencies which will enable it to manage the risks </w:t>
      </w:r>
      <w:r w:rsidRPr="00F22280">
        <w:lastRenderedPageBreak/>
        <w:t>associated with delivery of the budget including equalities impacts and unforeseen events.</w:t>
      </w:r>
      <w:r w:rsidRPr="00712978">
        <w:rPr>
          <w:rFonts w:cs="Arial"/>
        </w:rPr>
        <w:t xml:space="preserve"> </w:t>
      </w:r>
    </w:p>
    <w:p w14:paraId="1D0A20F5" w14:textId="62E908EB" w:rsidR="001C7E35" w:rsidRPr="00F22280" w:rsidRDefault="001C7E35" w:rsidP="00846BD6">
      <w:pPr>
        <w:ind w:left="709" w:hanging="709"/>
        <w:jc w:val="both"/>
        <w:rPr>
          <w:rFonts w:cs="Arial"/>
        </w:rPr>
      </w:pPr>
    </w:p>
    <w:p w14:paraId="7ECB3947" w14:textId="02D9CDB9" w:rsidR="00F22280" w:rsidRPr="00D20548" w:rsidRDefault="00D20548" w:rsidP="00D20548">
      <w:pPr>
        <w:ind w:left="710" w:hanging="710"/>
        <w:jc w:val="both"/>
        <w:rPr>
          <w:rFonts w:cs="Arial"/>
        </w:rPr>
      </w:pPr>
      <w:r>
        <w:rPr>
          <w:rFonts w:cs="Arial"/>
        </w:rPr>
        <w:t>1.43</w:t>
      </w:r>
      <w:r>
        <w:rPr>
          <w:rFonts w:cs="Arial"/>
        </w:rPr>
        <w:tab/>
      </w:r>
      <w:r w:rsidR="00F22280" w:rsidRPr="00D20548">
        <w:rPr>
          <w:rFonts w:cs="Arial"/>
        </w:rPr>
        <w:t xml:space="preserve">The Council’s overall reserves position is reported to Cabinet quarterly as part of the revenue monitoring update.  At quarter 2 (end of September 2023), total reserves forecast for carry forward into 2024/25 are £58.4m, this includes a deficit reserve on the DSG of £2.6m, therefore the gross value of reserves is £61.0m (as reported in Table 10 of the Q2 revenue and capital monitoring report, elsewhere on the agenda).   </w:t>
      </w:r>
    </w:p>
    <w:p w14:paraId="556151A7" w14:textId="77777777" w:rsidR="00F22280" w:rsidRPr="00F22280" w:rsidRDefault="00F22280" w:rsidP="00F22280">
      <w:pPr>
        <w:ind w:left="709"/>
        <w:jc w:val="both"/>
        <w:rPr>
          <w:rFonts w:cs="Arial"/>
        </w:rPr>
      </w:pPr>
    </w:p>
    <w:p w14:paraId="11864D10" w14:textId="7ECA50D0" w:rsidR="00F22280" w:rsidRPr="00D20548" w:rsidRDefault="00D20548" w:rsidP="00D20548">
      <w:pPr>
        <w:ind w:left="710" w:hanging="710"/>
        <w:jc w:val="both"/>
        <w:rPr>
          <w:rFonts w:cs="Arial"/>
        </w:rPr>
      </w:pPr>
      <w:r>
        <w:rPr>
          <w:rFonts w:cs="Arial"/>
        </w:rPr>
        <w:t>1.44</w:t>
      </w:r>
      <w:r>
        <w:rPr>
          <w:rFonts w:cs="Arial"/>
        </w:rPr>
        <w:tab/>
      </w:r>
      <w:r w:rsidR="00F22280" w:rsidRPr="00D20548">
        <w:rPr>
          <w:rFonts w:cs="Arial"/>
        </w:rPr>
        <w:t xml:space="preserve">If the forecast in year overspend position does not change and requires a draw down from reserves in the region of £1.4m, this would reduce reserves further to £59.6m.  However, on the basis of the £61.0m gross position and after accounting for specific earmarked reserves of £25.1m, this leaves the Councils remaining reserves at £35.9m as summarised at high level below: </w:t>
      </w:r>
    </w:p>
    <w:p w14:paraId="684706AC" w14:textId="77777777" w:rsidR="00F22280" w:rsidRPr="00F22280" w:rsidRDefault="00F22280" w:rsidP="00F22280">
      <w:pPr>
        <w:ind w:left="709" w:hanging="709"/>
        <w:jc w:val="both"/>
        <w:rPr>
          <w:rFonts w:cs="Arial"/>
        </w:rPr>
      </w:pPr>
    </w:p>
    <w:p w14:paraId="07D7E69B" w14:textId="77777777" w:rsidR="00F22280" w:rsidRPr="00F22280" w:rsidRDefault="00F22280" w:rsidP="00F22280">
      <w:pPr>
        <w:ind w:left="1425" w:hanging="291"/>
        <w:jc w:val="both"/>
      </w:pPr>
    </w:p>
    <w:p w14:paraId="00B66DED" w14:textId="77777777" w:rsidR="00F22280" w:rsidRPr="00F22280" w:rsidRDefault="00F22280" w:rsidP="00F22280">
      <w:pPr>
        <w:ind w:left="1418" w:hanging="284"/>
        <w:jc w:val="both"/>
      </w:pPr>
      <w:r w:rsidRPr="00F22280">
        <w:rPr>
          <w:rFonts w:cs="Arial"/>
        </w:rPr>
        <w:t>●</w:t>
      </w:r>
      <w:r w:rsidRPr="00F22280">
        <w:tab/>
        <w:t xml:space="preserve">Total reserves earmarked (non-specific)   </w:t>
      </w:r>
      <w:r w:rsidRPr="00F22280">
        <w:tab/>
        <w:t xml:space="preserve"> £9.8m</w:t>
      </w:r>
    </w:p>
    <w:p w14:paraId="71A3D79D" w14:textId="77777777" w:rsidR="00F22280" w:rsidRPr="00F22280" w:rsidRDefault="00F22280" w:rsidP="00F22280">
      <w:pPr>
        <w:ind w:left="1418" w:hanging="284"/>
        <w:jc w:val="both"/>
      </w:pPr>
      <w:r w:rsidRPr="00F22280">
        <w:rPr>
          <w:rFonts w:cs="Arial"/>
        </w:rPr>
        <w:t>●</w:t>
      </w:r>
      <w:r w:rsidRPr="00F22280">
        <w:tab/>
        <w:t xml:space="preserve"> Budget Planning Reserve   </w:t>
      </w:r>
      <w:r w:rsidRPr="00F22280">
        <w:tab/>
      </w:r>
      <w:r w:rsidRPr="00F22280">
        <w:tab/>
      </w:r>
      <w:r w:rsidRPr="00F22280">
        <w:tab/>
        <w:t xml:space="preserve">£16.1m </w:t>
      </w:r>
    </w:p>
    <w:p w14:paraId="35939CEB" w14:textId="77777777" w:rsidR="00F22280" w:rsidRPr="00F22280" w:rsidRDefault="00F22280" w:rsidP="00F22280">
      <w:pPr>
        <w:ind w:left="1418" w:hanging="284"/>
        <w:jc w:val="both"/>
      </w:pPr>
      <w:r w:rsidRPr="00F22280">
        <w:rPr>
          <w:rFonts w:cs="Arial"/>
        </w:rPr>
        <w:t>●</w:t>
      </w:r>
      <w:r w:rsidRPr="00F22280">
        <w:rPr>
          <w:rFonts w:cs="Arial"/>
        </w:rPr>
        <w:tab/>
      </w:r>
      <w:r w:rsidRPr="00F22280">
        <w:t xml:space="preserve">General Fund balances </w:t>
      </w:r>
      <w:r w:rsidRPr="00F22280">
        <w:tab/>
      </w:r>
      <w:r w:rsidRPr="00F22280">
        <w:tab/>
      </w:r>
      <w:r w:rsidRPr="00F22280">
        <w:tab/>
      </w:r>
      <w:r w:rsidRPr="00F22280">
        <w:tab/>
        <w:t>£10.0m</w:t>
      </w:r>
    </w:p>
    <w:p w14:paraId="210805E0" w14:textId="6B806394" w:rsidR="00F22280" w:rsidRPr="00F22280" w:rsidRDefault="00F22280" w:rsidP="00F22280">
      <w:pPr>
        <w:ind w:left="709" w:hanging="709"/>
        <w:jc w:val="both"/>
        <w:rPr>
          <w:rFonts w:cs="Arial"/>
          <w:b/>
          <w:bCs/>
        </w:rPr>
      </w:pPr>
      <w:r w:rsidRPr="00F22280">
        <w:t xml:space="preserve">     </w:t>
      </w:r>
      <w:r w:rsidRPr="00F22280">
        <w:tab/>
      </w:r>
      <w:r w:rsidRPr="00F22280">
        <w:tab/>
      </w:r>
      <w:r w:rsidRPr="00F22280">
        <w:tab/>
      </w:r>
      <w:r w:rsidRPr="00F22280">
        <w:tab/>
      </w:r>
      <w:r w:rsidRPr="00F22280">
        <w:tab/>
      </w:r>
      <w:r>
        <w:tab/>
      </w:r>
      <w:r>
        <w:tab/>
      </w:r>
      <w:r>
        <w:tab/>
      </w:r>
      <w:r w:rsidRPr="00F22280">
        <w:rPr>
          <w:b/>
          <w:bCs/>
        </w:rPr>
        <w:t>Total</w:t>
      </w:r>
      <w:r w:rsidRPr="00F22280">
        <w:rPr>
          <w:b/>
          <w:bCs/>
        </w:rPr>
        <w:tab/>
      </w:r>
      <w:r w:rsidRPr="00F22280">
        <w:rPr>
          <w:b/>
          <w:bCs/>
        </w:rPr>
        <w:tab/>
        <w:t>£35.9m</w:t>
      </w:r>
    </w:p>
    <w:p w14:paraId="289F0802" w14:textId="77777777" w:rsidR="008929BF" w:rsidRPr="00F22280" w:rsidRDefault="008929BF" w:rsidP="00846BD6">
      <w:pPr>
        <w:ind w:left="709" w:hanging="709"/>
        <w:jc w:val="both"/>
        <w:rPr>
          <w:rFonts w:cs="Arial"/>
        </w:rPr>
      </w:pPr>
    </w:p>
    <w:p w14:paraId="323545D4" w14:textId="77777777" w:rsidR="00C7500C" w:rsidRPr="00F22280" w:rsidRDefault="00C7500C" w:rsidP="00846BD6">
      <w:pPr>
        <w:ind w:left="1425"/>
        <w:jc w:val="both"/>
        <w:rPr>
          <w:rFonts w:cs="Arial"/>
        </w:rPr>
      </w:pPr>
    </w:p>
    <w:p w14:paraId="3210139B" w14:textId="0901F235" w:rsidR="00F22280" w:rsidRPr="002F14FC" w:rsidRDefault="00F22280" w:rsidP="002F14FC">
      <w:pPr>
        <w:pStyle w:val="ListParagraph"/>
        <w:numPr>
          <w:ilvl w:val="1"/>
          <w:numId w:val="44"/>
        </w:numPr>
        <w:ind w:left="709" w:hanging="743"/>
        <w:jc w:val="both"/>
        <w:rPr>
          <w:rFonts w:cs="Arial"/>
        </w:rPr>
      </w:pPr>
      <w:r w:rsidRPr="002F14FC">
        <w:rPr>
          <w:rFonts w:cs="Arial"/>
        </w:rPr>
        <w:t xml:space="preserve">At the end of the financial year, all reserves are reviewed including a focus </w:t>
      </w:r>
      <w:r w:rsidR="00D20548" w:rsidRPr="002F14FC">
        <w:rPr>
          <w:rFonts w:cs="Arial"/>
        </w:rPr>
        <w:t>on</w:t>
      </w:r>
      <w:r w:rsidRPr="002F14FC">
        <w:rPr>
          <w:rFonts w:cs="Arial"/>
        </w:rPr>
        <w:t xml:space="preserve"> ear marked reserves to ensure they are still required for the purpose to which they are designated. The Interim Director of Finance and Assurance will report on the adequacy of the Council’s reserves as required in the budget setting report in February 2024. </w:t>
      </w:r>
    </w:p>
    <w:p w14:paraId="2DCCFB00" w14:textId="77777777" w:rsidR="00F22280" w:rsidRPr="00F22280" w:rsidRDefault="00F22280" w:rsidP="00F22280">
      <w:pPr>
        <w:ind w:left="709" w:hanging="709"/>
        <w:jc w:val="both"/>
        <w:rPr>
          <w:rFonts w:cs="Arial"/>
        </w:rPr>
      </w:pPr>
    </w:p>
    <w:p w14:paraId="2BC5F2BD" w14:textId="2259E0FE" w:rsidR="00F22280" w:rsidRPr="00D20548" w:rsidRDefault="00D20548" w:rsidP="00D20548">
      <w:pPr>
        <w:ind w:left="709" w:hanging="709"/>
        <w:jc w:val="both"/>
        <w:rPr>
          <w:rFonts w:cs="Arial"/>
        </w:rPr>
      </w:pPr>
      <w:r>
        <w:rPr>
          <w:rFonts w:cs="Arial"/>
        </w:rPr>
        <w:t>1.46</w:t>
      </w:r>
      <w:r>
        <w:rPr>
          <w:rFonts w:cs="Arial"/>
        </w:rPr>
        <w:tab/>
      </w:r>
      <w:r w:rsidR="00F22280" w:rsidRPr="00D20548">
        <w:rPr>
          <w:rFonts w:cs="Arial"/>
        </w:rPr>
        <w:t>In addition to reserves there is an annual budgeted Contingency for Unforeseen items of £1.248m which sits within the Corporate budgets.  As part of the budget setting for 2024/25 a one of</w:t>
      </w:r>
      <w:r w:rsidR="00EA50C1">
        <w:rPr>
          <w:rFonts w:cs="Arial"/>
        </w:rPr>
        <w:t>f</w:t>
      </w:r>
      <w:r w:rsidR="00F22280" w:rsidRPr="00D20548">
        <w:rPr>
          <w:rFonts w:cs="Arial"/>
        </w:rPr>
        <w:t xml:space="preserve"> use has been factored </w:t>
      </w:r>
      <w:r w:rsidR="00DA107E" w:rsidRPr="00D20548">
        <w:rPr>
          <w:rFonts w:cs="Arial"/>
        </w:rPr>
        <w:t>into</w:t>
      </w:r>
      <w:r w:rsidR="00F22280" w:rsidRPr="00D20548">
        <w:rPr>
          <w:rFonts w:cs="Arial"/>
        </w:rPr>
        <w:t xml:space="preserve"> the budget which reduces the figure by £</w:t>
      </w:r>
      <w:r w:rsidR="0057766F" w:rsidRPr="00D20548">
        <w:rPr>
          <w:rFonts w:cs="Arial"/>
        </w:rPr>
        <w:t>175</w:t>
      </w:r>
      <w:r w:rsidR="00F22280" w:rsidRPr="00D20548">
        <w:rPr>
          <w:rFonts w:cs="Arial"/>
        </w:rPr>
        <w:t>k for 2024/25 but it is reinstated at £1.248m for 2025/26 onwards.</w:t>
      </w:r>
    </w:p>
    <w:p w14:paraId="126950AB" w14:textId="77777777" w:rsidR="003B70D6" w:rsidRPr="00D666A8" w:rsidRDefault="003B70D6" w:rsidP="00846BD6">
      <w:pPr>
        <w:ind w:left="709" w:hanging="709"/>
        <w:jc w:val="both"/>
        <w:rPr>
          <w:rFonts w:cs="Arial"/>
          <w:highlight w:val="yellow"/>
        </w:rPr>
      </w:pPr>
    </w:p>
    <w:p w14:paraId="6D486851" w14:textId="77777777" w:rsidR="00716EAF" w:rsidRPr="00A07525" w:rsidRDefault="00716EAF" w:rsidP="006A73FD">
      <w:pPr>
        <w:ind w:right="141"/>
        <w:rPr>
          <w:rFonts w:cs="Arial"/>
          <w:b/>
          <w:szCs w:val="24"/>
          <w:lang w:eastAsia="ar-SA"/>
        </w:rPr>
      </w:pPr>
    </w:p>
    <w:p w14:paraId="0DD6CE1C" w14:textId="43948EC3" w:rsidR="006A73FD" w:rsidRPr="00A07525" w:rsidRDefault="00A155A7" w:rsidP="005C52F4">
      <w:pPr>
        <w:ind w:right="141" w:firstLine="709"/>
        <w:rPr>
          <w:rFonts w:cs="Arial"/>
          <w:b/>
          <w:szCs w:val="24"/>
          <w:lang w:eastAsia="ar-SA"/>
        </w:rPr>
      </w:pPr>
      <w:bookmarkStart w:id="15" w:name="_Hlk58480276"/>
      <w:r w:rsidRPr="00A07525">
        <w:rPr>
          <w:rFonts w:cs="Arial"/>
          <w:b/>
          <w:szCs w:val="24"/>
          <w:lang w:eastAsia="ar-SA"/>
        </w:rPr>
        <w:t>L</w:t>
      </w:r>
      <w:r w:rsidR="0084190E" w:rsidRPr="00A07525">
        <w:rPr>
          <w:rFonts w:cs="Arial"/>
          <w:b/>
          <w:szCs w:val="24"/>
          <w:lang w:eastAsia="ar-SA"/>
        </w:rPr>
        <w:t>ONDON BOROUGH GRANTS SCHEME</w:t>
      </w:r>
      <w:r w:rsidR="00701100" w:rsidRPr="00A07525">
        <w:rPr>
          <w:rFonts w:cs="Arial"/>
          <w:b/>
          <w:szCs w:val="24"/>
          <w:lang w:eastAsia="ar-SA"/>
        </w:rPr>
        <w:t xml:space="preserve"> </w:t>
      </w:r>
    </w:p>
    <w:p w14:paraId="3535A276" w14:textId="77777777" w:rsidR="00CA377D" w:rsidRPr="00A07525" w:rsidRDefault="00CA377D" w:rsidP="005C52F4">
      <w:pPr>
        <w:ind w:right="141" w:firstLine="709"/>
        <w:rPr>
          <w:rFonts w:cs="Arial"/>
          <w:b/>
          <w:szCs w:val="24"/>
          <w:lang w:eastAsia="ar-SA"/>
        </w:rPr>
      </w:pPr>
    </w:p>
    <w:p w14:paraId="04ADC432" w14:textId="3D1DBCE8" w:rsidR="00A155A7" w:rsidRPr="002F14FC" w:rsidRDefault="000F7571" w:rsidP="002F14FC">
      <w:pPr>
        <w:pStyle w:val="ListParagraph"/>
        <w:numPr>
          <w:ilvl w:val="1"/>
          <w:numId w:val="43"/>
        </w:numPr>
        <w:suppressAutoHyphens/>
        <w:ind w:left="567" w:hanging="567"/>
        <w:jc w:val="both"/>
        <w:rPr>
          <w:rFonts w:cs="Arial"/>
          <w:lang w:eastAsia="ar-SA"/>
        </w:rPr>
      </w:pPr>
      <w:r w:rsidRPr="002F14FC">
        <w:rPr>
          <w:rFonts w:cs="Arial"/>
          <w:lang w:eastAsia="ar-SA"/>
        </w:rPr>
        <w:t>Harrow’s</w:t>
      </w:r>
      <w:r w:rsidR="00151037" w:rsidRPr="002F14FC">
        <w:rPr>
          <w:rFonts w:cs="Arial"/>
          <w:lang w:eastAsia="ar-SA"/>
        </w:rPr>
        <w:t xml:space="preserve"> contribution to the London Borough Grant Scheme was</w:t>
      </w:r>
      <w:r w:rsidR="00A00F5E" w:rsidRPr="002F14FC">
        <w:rPr>
          <w:rFonts w:cs="Arial"/>
          <w:lang w:eastAsia="ar-SA"/>
        </w:rPr>
        <w:t xml:space="preserve"> £</w:t>
      </w:r>
      <w:r w:rsidR="003B37DA" w:rsidRPr="002F14FC">
        <w:rPr>
          <w:rFonts w:cs="Arial"/>
          <w:lang w:eastAsia="ar-SA"/>
        </w:rPr>
        <w:t>186,907</w:t>
      </w:r>
      <w:r w:rsidR="00151037" w:rsidRPr="002F14FC">
        <w:rPr>
          <w:rFonts w:cs="Arial"/>
          <w:lang w:eastAsia="ar-SA"/>
        </w:rPr>
        <w:t xml:space="preserve"> </w:t>
      </w:r>
      <w:r w:rsidR="00343886" w:rsidRPr="002F14FC">
        <w:rPr>
          <w:rFonts w:cs="Arial"/>
          <w:lang w:eastAsia="ar-SA"/>
        </w:rPr>
        <w:t>in</w:t>
      </w:r>
      <w:r w:rsidR="00151037" w:rsidRPr="002F14FC">
        <w:rPr>
          <w:rFonts w:cs="Arial"/>
          <w:lang w:eastAsia="ar-SA"/>
        </w:rPr>
        <w:t xml:space="preserve"> 20</w:t>
      </w:r>
      <w:r w:rsidR="00A00F5E" w:rsidRPr="002F14FC">
        <w:rPr>
          <w:rFonts w:cs="Arial"/>
          <w:lang w:eastAsia="ar-SA"/>
        </w:rPr>
        <w:t>2</w:t>
      </w:r>
      <w:r w:rsidR="00F3336B" w:rsidRPr="002F14FC">
        <w:rPr>
          <w:rFonts w:cs="Arial"/>
          <w:lang w:eastAsia="ar-SA"/>
        </w:rPr>
        <w:t>3</w:t>
      </w:r>
      <w:r w:rsidR="00A00F5E" w:rsidRPr="002F14FC">
        <w:rPr>
          <w:rFonts w:cs="Arial"/>
          <w:lang w:eastAsia="ar-SA"/>
        </w:rPr>
        <w:t>/</w:t>
      </w:r>
      <w:r w:rsidR="00211B25" w:rsidRPr="002F14FC">
        <w:rPr>
          <w:rFonts w:cs="Arial"/>
          <w:lang w:eastAsia="ar-SA"/>
        </w:rPr>
        <w:t>2</w:t>
      </w:r>
      <w:r w:rsidR="00F3336B" w:rsidRPr="002F14FC">
        <w:rPr>
          <w:rFonts w:cs="Arial"/>
          <w:lang w:eastAsia="ar-SA"/>
        </w:rPr>
        <w:t>4</w:t>
      </w:r>
      <w:r w:rsidR="00151037" w:rsidRPr="002F14FC">
        <w:rPr>
          <w:rFonts w:cs="Arial"/>
          <w:lang w:eastAsia="ar-SA"/>
        </w:rPr>
        <w:t xml:space="preserve">.  </w:t>
      </w:r>
      <w:r w:rsidR="00B55756" w:rsidRPr="002F14FC">
        <w:rPr>
          <w:rFonts w:cs="Arial"/>
          <w:lang w:eastAsia="ar-SA"/>
        </w:rPr>
        <w:t xml:space="preserve">At </w:t>
      </w:r>
      <w:r w:rsidR="00151037" w:rsidRPr="002F14FC">
        <w:rPr>
          <w:rFonts w:cs="Arial"/>
          <w:lang w:eastAsia="ar-SA"/>
        </w:rPr>
        <w:t>the time of wr</w:t>
      </w:r>
      <w:r w:rsidR="00B55756" w:rsidRPr="002F14FC">
        <w:rPr>
          <w:rFonts w:cs="Arial"/>
          <w:lang w:eastAsia="ar-SA"/>
        </w:rPr>
        <w:t>iting this report</w:t>
      </w:r>
      <w:r w:rsidR="00CA3EE7" w:rsidRPr="002F14FC">
        <w:rPr>
          <w:rFonts w:cs="Arial"/>
          <w:lang w:eastAsia="ar-SA"/>
        </w:rPr>
        <w:t>,</w:t>
      </w:r>
      <w:r w:rsidR="00B55756" w:rsidRPr="002F14FC">
        <w:rPr>
          <w:rFonts w:cs="Arial"/>
          <w:lang w:eastAsia="ar-SA"/>
        </w:rPr>
        <w:t xml:space="preserve"> the Council has not been notified of the recommended contribution for 20</w:t>
      </w:r>
      <w:r w:rsidR="00BD3149" w:rsidRPr="002F14FC">
        <w:rPr>
          <w:rFonts w:cs="Arial"/>
          <w:lang w:eastAsia="ar-SA"/>
        </w:rPr>
        <w:t>2</w:t>
      </w:r>
      <w:r w:rsidR="00F3336B" w:rsidRPr="002F14FC">
        <w:rPr>
          <w:rFonts w:cs="Arial"/>
          <w:lang w:eastAsia="ar-SA"/>
        </w:rPr>
        <w:t>4</w:t>
      </w:r>
      <w:r w:rsidR="00164F36" w:rsidRPr="002F14FC">
        <w:rPr>
          <w:rFonts w:cs="Arial"/>
          <w:lang w:eastAsia="ar-SA"/>
        </w:rPr>
        <w:t>/2</w:t>
      </w:r>
      <w:r w:rsidR="00F3336B" w:rsidRPr="002F14FC">
        <w:rPr>
          <w:rFonts w:cs="Arial"/>
          <w:lang w:eastAsia="ar-SA"/>
        </w:rPr>
        <w:t>5</w:t>
      </w:r>
      <w:r w:rsidR="00B55756" w:rsidRPr="002F14FC">
        <w:rPr>
          <w:rFonts w:cs="Arial"/>
          <w:lang w:eastAsia="ar-SA"/>
        </w:rPr>
        <w:t xml:space="preserve">. </w:t>
      </w:r>
      <w:r w:rsidR="00343886" w:rsidRPr="002F14FC">
        <w:rPr>
          <w:rFonts w:cs="Arial"/>
          <w:lang w:eastAsia="ar-SA"/>
        </w:rPr>
        <w:t xml:space="preserve">To ensure that the Council can respond to </w:t>
      </w:r>
      <w:r w:rsidR="00F31C99" w:rsidRPr="002F14FC">
        <w:rPr>
          <w:rFonts w:cs="Arial"/>
          <w:lang w:eastAsia="ar-SA"/>
        </w:rPr>
        <w:t>L</w:t>
      </w:r>
      <w:r w:rsidR="00343886" w:rsidRPr="002F14FC">
        <w:rPr>
          <w:rFonts w:cs="Arial"/>
          <w:lang w:eastAsia="ar-SA"/>
        </w:rPr>
        <w:t xml:space="preserve">ondon Councils when contribution rates are notified, it is recommended that Cabinet authorise the </w:t>
      </w:r>
      <w:r w:rsidR="00A07525" w:rsidRPr="002F14FC">
        <w:rPr>
          <w:rFonts w:cs="Arial"/>
          <w:lang w:eastAsia="ar-SA"/>
        </w:rPr>
        <w:t xml:space="preserve">interim </w:t>
      </w:r>
      <w:r w:rsidR="00343886" w:rsidRPr="002F14FC">
        <w:rPr>
          <w:rFonts w:cs="Arial"/>
          <w:lang w:eastAsia="ar-SA"/>
        </w:rPr>
        <w:t>Director of Finance</w:t>
      </w:r>
      <w:r w:rsidR="00A00F5E" w:rsidRPr="002F14FC">
        <w:rPr>
          <w:rFonts w:cs="Arial"/>
          <w:lang w:eastAsia="ar-SA"/>
        </w:rPr>
        <w:t xml:space="preserve"> &amp; Assurance</w:t>
      </w:r>
      <w:r w:rsidR="00343886" w:rsidRPr="002F14FC">
        <w:rPr>
          <w:rFonts w:cs="Arial"/>
          <w:lang w:eastAsia="ar-SA"/>
        </w:rPr>
        <w:t xml:space="preserve"> to agree Harrow’s 20</w:t>
      </w:r>
      <w:r w:rsidR="00BD3149" w:rsidRPr="002F14FC">
        <w:rPr>
          <w:rFonts w:cs="Arial"/>
          <w:lang w:eastAsia="ar-SA"/>
        </w:rPr>
        <w:t>2</w:t>
      </w:r>
      <w:r w:rsidR="00A07525" w:rsidRPr="002F14FC">
        <w:rPr>
          <w:rFonts w:cs="Arial"/>
          <w:lang w:eastAsia="ar-SA"/>
        </w:rPr>
        <w:t>4</w:t>
      </w:r>
      <w:r w:rsidR="00164F36" w:rsidRPr="002F14FC">
        <w:rPr>
          <w:rFonts w:cs="Arial"/>
          <w:lang w:eastAsia="ar-SA"/>
        </w:rPr>
        <w:t>/</w:t>
      </w:r>
      <w:r w:rsidR="00A00F5E" w:rsidRPr="002F14FC">
        <w:rPr>
          <w:rFonts w:cs="Arial"/>
          <w:lang w:eastAsia="ar-SA"/>
        </w:rPr>
        <w:t>2</w:t>
      </w:r>
      <w:r w:rsidR="00A07525" w:rsidRPr="002F14FC">
        <w:rPr>
          <w:rFonts w:cs="Arial"/>
          <w:lang w:eastAsia="ar-SA"/>
        </w:rPr>
        <w:t>5</w:t>
      </w:r>
      <w:r w:rsidR="00343886" w:rsidRPr="002F14FC">
        <w:rPr>
          <w:rFonts w:cs="Arial"/>
          <w:lang w:eastAsia="ar-SA"/>
        </w:rPr>
        <w:t xml:space="preserve"> contribution to the London Borough Grant Scheme, in consultation with the Portfolio Holder for Finance a</w:t>
      </w:r>
      <w:r w:rsidR="00164F36" w:rsidRPr="002F14FC">
        <w:rPr>
          <w:rFonts w:cs="Arial"/>
          <w:lang w:eastAsia="ar-SA"/>
        </w:rPr>
        <w:t xml:space="preserve">nd </w:t>
      </w:r>
      <w:r w:rsidR="003B37DA" w:rsidRPr="002F14FC">
        <w:rPr>
          <w:rFonts w:cs="Arial"/>
          <w:lang w:eastAsia="ar-SA"/>
        </w:rPr>
        <w:t>Human Resources</w:t>
      </w:r>
      <w:r w:rsidR="00343886" w:rsidRPr="002F14FC">
        <w:rPr>
          <w:rFonts w:cs="Arial"/>
          <w:lang w:eastAsia="ar-SA"/>
        </w:rPr>
        <w:t xml:space="preserve">.  The contribution </w:t>
      </w:r>
      <w:r w:rsidR="00A07525" w:rsidRPr="002F14FC">
        <w:rPr>
          <w:rFonts w:cs="Arial"/>
          <w:lang w:eastAsia="ar-SA"/>
        </w:rPr>
        <w:t>for 2024/25</w:t>
      </w:r>
      <w:r w:rsidR="00343886" w:rsidRPr="002F14FC">
        <w:rPr>
          <w:rFonts w:cs="Arial"/>
          <w:lang w:eastAsia="ar-SA"/>
        </w:rPr>
        <w:t xml:space="preserve"> will be reported to Cabinet in February 20</w:t>
      </w:r>
      <w:r w:rsidR="00164F36" w:rsidRPr="002F14FC">
        <w:rPr>
          <w:rFonts w:cs="Arial"/>
          <w:lang w:eastAsia="ar-SA"/>
        </w:rPr>
        <w:t>2</w:t>
      </w:r>
      <w:r w:rsidR="00A07525" w:rsidRPr="002F14FC">
        <w:rPr>
          <w:rFonts w:cs="Arial"/>
          <w:lang w:eastAsia="ar-SA"/>
        </w:rPr>
        <w:t>4</w:t>
      </w:r>
      <w:r w:rsidR="00343886" w:rsidRPr="002F14FC">
        <w:rPr>
          <w:rFonts w:cs="Arial"/>
          <w:lang w:eastAsia="ar-SA"/>
        </w:rPr>
        <w:t xml:space="preserve"> as part of the final budget. </w:t>
      </w:r>
    </w:p>
    <w:bookmarkEnd w:id="15"/>
    <w:p w14:paraId="3909E521" w14:textId="38E272FA" w:rsidR="00141156" w:rsidRDefault="00141156" w:rsidP="00EF564B">
      <w:pPr>
        <w:suppressAutoHyphens/>
        <w:jc w:val="both"/>
        <w:rPr>
          <w:rFonts w:cs="Arial"/>
          <w:highlight w:val="yellow"/>
          <w:lang w:eastAsia="ar-SA"/>
        </w:rPr>
      </w:pPr>
    </w:p>
    <w:p w14:paraId="6261C60C" w14:textId="6BF893F4" w:rsidR="00DA107E" w:rsidRDefault="00DA107E" w:rsidP="00EF564B">
      <w:pPr>
        <w:suppressAutoHyphens/>
        <w:jc w:val="both"/>
        <w:rPr>
          <w:rFonts w:cs="Arial"/>
          <w:highlight w:val="yellow"/>
          <w:lang w:eastAsia="ar-SA"/>
        </w:rPr>
      </w:pPr>
    </w:p>
    <w:p w14:paraId="3A50DFF1" w14:textId="4BABF465" w:rsidR="002351B6" w:rsidRDefault="002351B6" w:rsidP="00EF564B">
      <w:pPr>
        <w:suppressAutoHyphens/>
        <w:jc w:val="both"/>
        <w:rPr>
          <w:rFonts w:cs="Arial"/>
          <w:highlight w:val="yellow"/>
          <w:lang w:eastAsia="ar-SA"/>
        </w:rPr>
      </w:pPr>
    </w:p>
    <w:p w14:paraId="1ECBAA59" w14:textId="0652E224" w:rsidR="002351B6" w:rsidRDefault="002351B6" w:rsidP="00EF564B">
      <w:pPr>
        <w:suppressAutoHyphens/>
        <w:jc w:val="both"/>
        <w:rPr>
          <w:rFonts w:cs="Arial"/>
          <w:highlight w:val="yellow"/>
          <w:lang w:eastAsia="ar-SA"/>
        </w:rPr>
      </w:pPr>
    </w:p>
    <w:p w14:paraId="34BA2F55" w14:textId="77777777" w:rsidR="002351B6" w:rsidRPr="00D666A8" w:rsidRDefault="002351B6" w:rsidP="00EF564B">
      <w:pPr>
        <w:suppressAutoHyphens/>
        <w:jc w:val="both"/>
        <w:rPr>
          <w:rFonts w:cs="Arial"/>
          <w:highlight w:val="yellow"/>
          <w:lang w:eastAsia="ar-SA"/>
        </w:rPr>
      </w:pPr>
    </w:p>
    <w:p w14:paraId="07EE536E" w14:textId="77777777" w:rsidR="00141156" w:rsidRPr="00D666A8" w:rsidRDefault="00141156" w:rsidP="00846BD6">
      <w:pPr>
        <w:suppressAutoHyphens/>
        <w:ind w:left="709" w:hanging="709"/>
        <w:jc w:val="both"/>
        <w:rPr>
          <w:rFonts w:cs="Arial"/>
          <w:highlight w:val="yellow"/>
          <w:lang w:eastAsia="ar-SA"/>
        </w:rPr>
      </w:pPr>
    </w:p>
    <w:p w14:paraId="11F94CF6" w14:textId="72AFE187" w:rsidR="006A73FD" w:rsidRPr="000A7631" w:rsidRDefault="000B3134" w:rsidP="000B3134">
      <w:pPr>
        <w:suppressAutoHyphens/>
        <w:jc w:val="both"/>
        <w:rPr>
          <w:rFonts w:cs="Arial"/>
          <w:b/>
          <w:lang w:eastAsia="ar-SA"/>
        </w:rPr>
      </w:pPr>
      <w:r w:rsidRPr="000A7631">
        <w:rPr>
          <w:rFonts w:cs="Arial"/>
          <w:b/>
          <w:lang w:eastAsia="ar-SA"/>
        </w:rPr>
        <w:lastRenderedPageBreak/>
        <w:t xml:space="preserve">2.0 </w:t>
      </w:r>
      <w:r w:rsidRPr="000A7631">
        <w:rPr>
          <w:rFonts w:cs="Arial"/>
          <w:b/>
          <w:lang w:eastAsia="ar-SA"/>
        </w:rPr>
        <w:tab/>
      </w:r>
      <w:r w:rsidR="002B6A9B" w:rsidRPr="000A7631">
        <w:rPr>
          <w:rFonts w:cs="Arial"/>
          <w:b/>
          <w:lang w:eastAsia="ar-SA"/>
        </w:rPr>
        <w:t>CONSULTATION</w:t>
      </w:r>
    </w:p>
    <w:p w14:paraId="18FFCD73" w14:textId="77777777" w:rsidR="006203E7" w:rsidRPr="00A07525" w:rsidRDefault="006203E7" w:rsidP="00EE494E">
      <w:pPr>
        <w:suppressAutoHyphens/>
        <w:jc w:val="both"/>
        <w:rPr>
          <w:rFonts w:cs="Arial"/>
          <w:b/>
          <w:lang w:eastAsia="ar-SA"/>
        </w:rPr>
      </w:pPr>
    </w:p>
    <w:p w14:paraId="240A334A" w14:textId="22495239" w:rsidR="00F423B2" w:rsidRPr="00712978" w:rsidRDefault="00EE494E" w:rsidP="000A7631">
      <w:pPr>
        <w:suppressAutoHyphens/>
        <w:ind w:left="710" w:hanging="710"/>
        <w:jc w:val="both"/>
        <w:rPr>
          <w:rFonts w:cs="Arial"/>
          <w:lang w:eastAsia="ar-SA"/>
        </w:rPr>
      </w:pPr>
      <w:r w:rsidRPr="00712978">
        <w:rPr>
          <w:rFonts w:cs="Arial"/>
          <w:lang w:eastAsia="ar-SA"/>
        </w:rPr>
        <w:t>2.1</w:t>
      </w:r>
      <w:r w:rsidR="00960BA8" w:rsidRPr="00712978">
        <w:rPr>
          <w:rFonts w:cs="Arial"/>
          <w:lang w:eastAsia="ar-SA"/>
        </w:rPr>
        <w:tab/>
      </w:r>
      <w:r w:rsidR="00F423B2" w:rsidRPr="00712978">
        <w:rPr>
          <w:rFonts w:cs="Arial"/>
          <w:lang w:eastAsia="ar-SA"/>
        </w:rPr>
        <w:t xml:space="preserve">As a matter of public law the duty to consult with regards to proposals to vary, reduce or withdraw services will arise in </w:t>
      </w:r>
      <w:r w:rsidR="00F460AC" w:rsidRPr="00712978">
        <w:rPr>
          <w:rFonts w:cs="Arial"/>
          <w:lang w:eastAsia="ar-SA"/>
        </w:rPr>
        <w:t>four</w:t>
      </w:r>
      <w:r w:rsidR="00F423B2" w:rsidRPr="00712978">
        <w:rPr>
          <w:rFonts w:cs="Arial"/>
          <w:lang w:eastAsia="ar-SA"/>
        </w:rPr>
        <w:t xml:space="preserve"> circumstances:</w:t>
      </w:r>
    </w:p>
    <w:p w14:paraId="365E6105" w14:textId="77777777" w:rsidR="00F423B2" w:rsidRPr="00A07525" w:rsidRDefault="00F423B2" w:rsidP="00846BD6">
      <w:pPr>
        <w:suppressAutoHyphens/>
        <w:ind w:left="709" w:firstLine="11"/>
        <w:jc w:val="both"/>
        <w:rPr>
          <w:rFonts w:cs="Arial"/>
          <w:lang w:eastAsia="ar-SA"/>
        </w:rPr>
      </w:pPr>
    </w:p>
    <w:p w14:paraId="5DBCCD10" w14:textId="33151A52"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Where</w:t>
      </w:r>
      <w:r w:rsidR="00F423B2" w:rsidRPr="00A07525">
        <w:rPr>
          <w:rFonts w:cs="Arial"/>
          <w:lang w:eastAsia="ar-SA"/>
        </w:rPr>
        <w:t xml:space="preserve"> there is a statutory requirement in the relevant legislative </w:t>
      </w:r>
      <w:r w:rsidR="00DB3855" w:rsidRPr="00A07525">
        <w:rPr>
          <w:rFonts w:cs="Arial"/>
          <w:lang w:eastAsia="ar-SA"/>
        </w:rPr>
        <w:t>framework.</w:t>
      </w:r>
    </w:p>
    <w:p w14:paraId="2F13CD42" w14:textId="434A9E0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960BA8" w:rsidRPr="00A07525">
        <w:rPr>
          <w:rFonts w:cs="Arial"/>
          <w:lang w:eastAsia="ar-SA"/>
        </w:rPr>
        <w:t>W</w:t>
      </w:r>
      <w:r w:rsidR="00F423B2" w:rsidRPr="00A07525">
        <w:rPr>
          <w:rFonts w:cs="Arial"/>
          <w:lang w:eastAsia="ar-SA"/>
        </w:rPr>
        <w:t xml:space="preserve">here the practice has been to consult or where a policy document states the council will consult then the council must comply with its own practice or </w:t>
      </w:r>
      <w:r w:rsidR="00DB3855" w:rsidRPr="00A07525">
        <w:rPr>
          <w:rFonts w:cs="Arial"/>
          <w:lang w:eastAsia="ar-SA"/>
        </w:rPr>
        <w:t>policy.</w:t>
      </w:r>
      <w:r w:rsidR="00F423B2" w:rsidRPr="00A07525">
        <w:rPr>
          <w:rFonts w:cs="Arial"/>
          <w:lang w:eastAsia="ar-SA"/>
        </w:rPr>
        <w:t xml:space="preserve"> </w:t>
      </w:r>
    </w:p>
    <w:p w14:paraId="25B62CC7" w14:textId="02AA932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Exceptionally</w:t>
      </w:r>
      <w:r w:rsidR="00F423B2" w:rsidRPr="00A07525">
        <w:rPr>
          <w:rFonts w:cs="Arial"/>
          <w:lang w:eastAsia="ar-SA"/>
        </w:rPr>
        <w:t xml:space="preserve">, where the matter is so important that there is a legitimate expectation of consultation </w:t>
      </w:r>
      <w:r w:rsidR="00DB3855" w:rsidRPr="00A07525">
        <w:rPr>
          <w:rFonts w:cs="Arial"/>
          <w:lang w:eastAsia="ar-SA"/>
        </w:rPr>
        <w:t>and.</w:t>
      </w:r>
    </w:p>
    <w:p w14:paraId="58E092ED"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Where</w:t>
      </w:r>
      <w:r w:rsidR="00F423B2" w:rsidRPr="00A07525">
        <w:rPr>
          <w:rFonts w:cs="Arial"/>
          <w:lang w:eastAsia="ar-SA"/>
        </w:rPr>
        <w:t xml:space="preserve"> consultation is required to complete an equalities impact assessment.</w:t>
      </w:r>
    </w:p>
    <w:p w14:paraId="3A7176A0" w14:textId="77777777" w:rsidR="00F423B2" w:rsidRPr="00A07525" w:rsidRDefault="00F423B2" w:rsidP="00846BD6">
      <w:pPr>
        <w:suppressAutoHyphens/>
        <w:ind w:left="709" w:firstLine="11"/>
        <w:jc w:val="both"/>
        <w:rPr>
          <w:rFonts w:cs="Arial"/>
          <w:lang w:eastAsia="ar-SA"/>
        </w:rPr>
      </w:pPr>
    </w:p>
    <w:p w14:paraId="2DE09A83" w14:textId="19BC71E8" w:rsidR="00F423B2" w:rsidRPr="00A07525" w:rsidRDefault="00EE494E" w:rsidP="00846BD6">
      <w:pPr>
        <w:suppressAutoHyphens/>
        <w:ind w:left="709" w:hanging="709"/>
        <w:jc w:val="both"/>
        <w:rPr>
          <w:rFonts w:cs="Arial"/>
          <w:lang w:eastAsia="ar-SA"/>
        </w:rPr>
      </w:pPr>
      <w:r w:rsidRPr="00A07525">
        <w:rPr>
          <w:rFonts w:cs="Arial"/>
          <w:lang w:eastAsia="ar-SA"/>
        </w:rPr>
        <w:t>2.2</w:t>
      </w:r>
      <w:r w:rsidR="00075A19" w:rsidRPr="00A07525">
        <w:rPr>
          <w:rFonts w:cs="Arial"/>
          <w:lang w:eastAsia="ar-SA"/>
        </w:rPr>
        <w:tab/>
      </w:r>
      <w:r w:rsidR="00F423B2" w:rsidRPr="00A07525">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A07525" w:rsidRDefault="00F423B2" w:rsidP="00846BD6">
      <w:pPr>
        <w:suppressAutoHyphens/>
        <w:ind w:left="709" w:firstLine="11"/>
        <w:jc w:val="both"/>
        <w:rPr>
          <w:rFonts w:cs="Arial"/>
          <w:lang w:eastAsia="ar-SA"/>
        </w:rPr>
      </w:pPr>
    </w:p>
    <w:p w14:paraId="04D52B09" w14:textId="5DD167FF"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Comments</w:t>
      </w:r>
      <w:r w:rsidR="00F423B2" w:rsidRPr="00A07525">
        <w:rPr>
          <w:rFonts w:cs="Arial"/>
          <w:lang w:eastAsia="ar-SA"/>
        </w:rPr>
        <w:t xml:space="preserve"> are genuinely invited at the formative </w:t>
      </w:r>
      <w:r w:rsidR="00DB3855" w:rsidRPr="00A07525">
        <w:rPr>
          <w:rFonts w:cs="Arial"/>
          <w:lang w:eastAsia="ar-SA"/>
        </w:rPr>
        <w:t>stage.</w:t>
      </w:r>
    </w:p>
    <w:p w14:paraId="00E09DF6" w14:textId="2C97C7F6"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F423B2" w:rsidRPr="00A07525">
        <w:rPr>
          <w:rFonts w:cs="Arial"/>
          <w:lang w:eastAsia="ar-SA"/>
        </w:rPr>
        <w:t xml:space="preserve">The consultation documents include sufficient reasons for the proposal to allow those being consulted to be properly informed and to give an informed </w:t>
      </w:r>
      <w:r w:rsidR="00DB3855" w:rsidRPr="00A07525">
        <w:rPr>
          <w:rFonts w:cs="Arial"/>
          <w:lang w:eastAsia="ar-SA"/>
        </w:rPr>
        <w:t>response.</w:t>
      </w:r>
    </w:p>
    <w:p w14:paraId="4418A7DB" w14:textId="77777777" w:rsidR="00F423B2" w:rsidRPr="00A07525" w:rsidRDefault="001F2295" w:rsidP="00846BD6">
      <w:pPr>
        <w:suppressAutoHyphens/>
        <w:ind w:left="1418" w:hanging="284"/>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There</w:t>
      </w:r>
      <w:r w:rsidR="00F423B2" w:rsidRPr="00A07525">
        <w:rPr>
          <w:rFonts w:cs="Arial"/>
          <w:lang w:eastAsia="ar-SA"/>
        </w:rPr>
        <w:t xml:space="preserve"> is adequate time given to the consultees to consider the proposals; </w:t>
      </w:r>
    </w:p>
    <w:p w14:paraId="00EC4CF6"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t>T</w:t>
      </w:r>
      <w:r w:rsidR="00F423B2" w:rsidRPr="00A07525">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602C1C" w:rsidRPr="00A07525">
        <w:rPr>
          <w:rFonts w:cs="Arial"/>
          <w:lang w:eastAsia="ar-SA"/>
        </w:rPr>
        <w:t>The</w:t>
      </w:r>
      <w:r w:rsidR="00F423B2" w:rsidRPr="00A07525">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606BFE8A" w:rsidR="00F423B2" w:rsidRPr="00A07525" w:rsidRDefault="001F2295" w:rsidP="00846BD6">
      <w:pPr>
        <w:suppressAutoHyphens/>
        <w:ind w:left="1440" w:hanging="306"/>
        <w:jc w:val="both"/>
        <w:rPr>
          <w:rFonts w:cs="Arial"/>
          <w:lang w:eastAsia="ar-SA"/>
        </w:rPr>
      </w:pPr>
      <w:r w:rsidRPr="00A07525">
        <w:rPr>
          <w:rFonts w:cs="Arial"/>
          <w:lang w:eastAsia="ar-SA"/>
        </w:rPr>
        <w:t>●</w:t>
      </w:r>
      <w:r w:rsidRPr="00A07525">
        <w:rPr>
          <w:rFonts w:cs="Arial"/>
          <w:lang w:eastAsia="ar-SA"/>
        </w:rPr>
        <w:tab/>
      </w:r>
      <w:r w:rsidR="00F423B2" w:rsidRPr="00A07525">
        <w:rPr>
          <w:rFonts w:cs="Arial"/>
          <w:lang w:eastAsia="ar-SA"/>
        </w:rPr>
        <w:t xml:space="preserve">The consultation is clear on the reasons </w:t>
      </w:r>
      <w:r w:rsidR="00BD3FE7" w:rsidRPr="00A07525">
        <w:rPr>
          <w:rFonts w:cs="Arial"/>
          <w:lang w:eastAsia="ar-SA"/>
        </w:rPr>
        <w:t>and extent</w:t>
      </w:r>
      <w:r w:rsidR="00F423B2" w:rsidRPr="00A07525">
        <w:rPr>
          <w:rFonts w:cs="Arial"/>
          <w:lang w:eastAsia="ar-SA"/>
        </w:rPr>
        <w:t xml:space="preserve"> to which alternatives and discarded options have been </w:t>
      </w:r>
      <w:r w:rsidR="00F56DE8">
        <w:rPr>
          <w:rFonts w:cs="Arial"/>
          <w:lang w:eastAsia="ar-SA"/>
        </w:rPr>
        <w:t>considered</w:t>
      </w:r>
      <w:r w:rsidR="00F423B2" w:rsidRPr="00A07525">
        <w:rPr>
          <w:rFonts w:cs="Arial"/>
          <w:lang w:eastAsia="ar-SA"/>
        </w:rPr>
        <w:t xml:space="preserve">.  </w:t>
      </w:r>
    </w:p>
    <w:p w14:paraId="44E276D0" w14:textId="77777777" w:rsidR="00F423B2" w:rsidRPr="00D666A8" w:rsidRDefault="00F423B2" w:rsidP="00846BD6">
      <w:pPr>
        <w:suppressAutoHyphens/>
        <w:ind w:left="709" w:firstLine="11"/>
        <w:jc w:val="both"/>
        <w:rPr>
          <w:rFonts w:cs="Arial"/>
          <w:highlight w:val="yellow"/>
          <w:lang w:eastAsia="ar-SA"/>
        </w:rPr>
      </w:pPr>
    </w:p>
    <w:p w14:paraId="5612C1D4" w14:textId="6403A2A0" w:rsidR="00513B81" w:rsidRPr="00F22280" w:rsidRDefault="00EE494E" w:rsidP="00513B81">
      <w:pPr>
        <w:suppressAutoHyphens/>
        <w:ind w:left="709" w:hanging="709"/>
        <w:jc w:val="both"/>
        <w:rPr>
          <w:rFonts w:cs="Arial"/>
          <w:lang w:eastAsia="ar-SA"/>
        </w:rPr>
      </w:pPr>
      <w:r w:rsidRPr="00F22280">
        <w:rPr>
          <w:rFonts w:cs="Arial"/>
          <w:lang w:eastAsia="ar-SA"/>
        </w:rPr>
        <w:t>2.3</w:t>
      </w:r>
      <w:r w:rsidR="00960BA8" w:rsidRPr="00F22280">
        <w:rPr>
          <w:rFonts w:cs="Arial"/>
          <w:lang w:eastAsia="ar-SA"/>
        </w:rPr>
        <w:tab/>
      </w:r>
      <w:r w:rsidR="00F22280" w:rsidRPr="00F22280">
        <w:rPr>
          <w:rFonts w:cs="Arial"/>
          <w:lang w:eastAsia="ar-SA"/>
        </w:rPr>
        <w:t>Public consultation on the overall budget for 2024/25 will commence on 20 December 202</w:t>
      </w:r>
      <w:r w:rsidR="00DA107E">
        <w:rPr>
          <w:rFonts w:cs="Arial"/>
          <w:lang w:eastAsia="ar-SA"/>
        </w:rPr>
        <w:t>3</w:t>
      </w:r>
      <w:r w:rsidR="00F22280" w:rsidRPr="00F22280">
        <w:rPr>
          <w:rFonts w:cs="Arial"/>
          <w:lang w:eastAsia="ar-SA"/>
        </w:rPr>
        <w:t xml:space="preserve"> and will last for a period of 5 weeks ending 24 January 2024 before the final budget is approved by Cabinet on 15 February and then recommended to Full Council on the 22 February 2024.</w:t>
      </w:r>
      <w:r w:rsidR="00DA107E">
        <w:rPr>
          <w:rFonts w:cs="Arial"/>
          <w:lang w:eastAsia="ar-SA"/>
        </w:rPr>
        <w:t xml:space="preserve"> </w:t>
      </w:r>
      <w:r w:rsidR="00F22280" w:rsidRPr="00F22280">
        <w:rPr>
          <w:rFonts w:cs="Arial"/>
          <w:lang w:eastAsia="ar-SA"/>
        </w:rPr>
        <w:t>The public consultation will give residents an opportunity to comment on the 2024/25 overall budget before final decisions are formalised in the council’s annual budget. Other key stakeholders, including Union Representatives, local businesses, employees, and the Council Scrutiny function will also be fully consulted in the draft budget and MTFS before final approval.</w:t>
      </w:r>
      <w:r w:rsidR="00513B81" w:rsidRPr="00513B81">
        <w:rPr>
          <w:rFonts w:cs="Arial"/>
          <w:lang w:eastAsia="ar-SA"/>
        </w:rPr>
        <w:t xml:space="preserve"> </w:t>
      </w:r>
      <w:r w:rsidR="00513B81">
        <w:rPr>
          <w:rFonts w:cs="Arial"/>
          <w:lang w:eastAsia="ar-SA"/>
        </w:rPr>
        <w:t xml:space="preserve">Once the consultation has closed then the cumulative equality impact assessment on the budget can be completed. </w:t>
      </w:r>
    </w:p>
    <w:p w14:paraId="3EF4DEAE" w14:textId="28A2D6C1" w:rsidR="00F423B2" w:rsidRPr="00F22280" w:rsidRDefault="00F423B2" w:rsidP="00846BD6">
      <w:pPr>
        <w:suppressAutoHyphens/>
        <w:ind w:left="709" w:hanging="709"/>
        <w:jc w:val="both"/>
        <w:rPr>
          <w:rFonts w:cs="Arial"/>
          <w:lang w:eastAsia="ar-SA"/>
        </w:rPr>
      </w:pPr>
    </w:p>
    <w:p w14:paraId="3BF1FE10" w14:textId="77777777" w:rsidR="00C20EC9" w:rsidRPr="00F22280" w:rsidRDefault="00C20EC9" w:rsidP="00846BD6">
      <w:pPr>
        <w:suppressAutoHyphens/>
        <w:jc w:val="both"/>
        <w:rPr>
          <w:rFonts w:cs="Arial"/>
          <w:lang w:eastAsia="ar-SA"/>
        </w:rPr>
      </w:pPr>
    </w:p>
    <w:p w14:paraId="1BD83DDE" w14:textId="355791C2" w:rsidR="00F22280" w:rsidRPr="00F22280" w:rsidRDefault="00EE494E" w:rsidP="00F22280">
      <w:pPr>
        <w:suppressAutoHyphens/>
        <w:ind w:left="709" w:hanging="709"/>
        <w:jc w:val="both"/>
        <w:rPr>
          <w:rFonts w:cs="Arial"/>
          <w:lang w:eastAsia="ar-SA"/>
        </w:rPr>
      </w:pPr>
      <w:r w:rsidRPr="00F22280">
        <w:rPr>
          <w:rFonts w:cs="Arial"/>
          <w:lang w:eastAsia="ar-SA"/>
        </w:rPr>
        <w:t>2.4</w:t>
      </w:r>
      <w:r w:rsidR="00960BA8" w:rsidRPr="00F22280">
        <w:rPr>
          <w:rFonts w:cs="Arial"/>
          <w:lang w:eastAsia="ar-SA"/>
        </w:rPr>
        <w:tab/>
      </w:r>
      <w:r w:rsidR="00F22280" w:rsidRPr="00F22280">
        <w:rPr>
          <w:rFonts w:cs="Arial"/>
          <w:lang w:eastAsia="ar-SA"/>
        </w:rPr>
        <w:t xml:space="preserve">In terms of service specific consultations, the council has a duty to consult with residents and service users in several different situations including where proposals to significantly vary, reduce or withdraw services.  Consultation is also needed in other circumstances, for example to identify the impact of proposals or to assist with complying with the council’s equality duties. Council sets the budget envelope and Cabinet works within this. </w:t>
      </w:r>
      <w:r w:rsidR="00F22280" w:rsidRPr="00F22280">
        <w:rPr>
          <w:rFonts w:cs="Arial"/>
          <w:lang w:eastAsia="ar-SA"/>
        </w:rPr>
        <w:lastRenderedPageBreak/>
        <w:t xml:space="preserve">Where appropriate, separate service specific consultations will take place for the 2024/25 savings and may be subject to a separate Cabinet report and Cabinet decisions as necessary. </w:t>
      </w:r>
    </w:p>
    <w:p w14:paraId="51CA3ECC" w14:textId="77777777" w:rsidR="00F22280" w:rsidRPr="00F22280" w:rsidRDefault="00F22280" w:rsidP="00F22280">
      <w:pPr>
        <w:suppressAutoHyphens/>
        <w:ind w:left="709" w:hanging="709"/>
        <w:jc w:val="both"/>
        <w:rPr>
          <w:rFonts w:cs="Arial"/>
          <w:lang w:eastAsia="ar-SA"/>
        </w:rPr>
      </w:pPr>
    </w:p>
    <w:p w14:paraId="56D7E715" w14:textId="2A10CFC6" w:rsidR="00F22280" w:rsidRPr="0064023F" w:rsidRDefault="00F22280" w:rsidP="00F22280">
      <w:pPr>
        <w:suppressAutoHyphens/>
        <w:ind w:left="709" w:hanging="709"/>
        <w:jc w:val="both"/>
        <w:rPr>
          <w:rFonts w:cs="Arial"/>
          <w:lang w:eastAsia="ar-SA"/>
        </w:rPr>
      </w:pPr>
      <w:r w:rsidRPr="00F22280">
        <w:rPr>
          <w:rFonts w:cs="Arial"/>
          <w:lang w:eastAsia="ar-SA"/>
        </w:rPr>
        <w:t>2.5</w:t>
      </w:r>
      <w:r w:rsidRPr="00F22280">
        <w:rPr>
          <w:rFonts w:cs="Arial"/>
          <w:lang w:eastAsia="ar-SA"/>
        </w:rPr>
        <w:tab/>
        <w:t xml:space="preserve">Within Appendix 1A, there is a saving that is being reversed following separate consultation which concluded in October 2023.  The saving </w:t>
      </w:r>
      <w:r w:rsidR="00DA107E">
        <w:rPr>
          <w:rFonts w:cs="Arial"/>
          <w:lang w:eastAsia="ar-SA"/>
        </w:rPr>
        <w:t>of £6k p</w:t>
      </w:r>
      <w:r w:rsidR="00513B81">
        <w:rPr>
          <w:rFonts w:cs="Arial"/>
          <w:lang w:eastAsia="ar-SA"/>
        </w:rPr>
        <w:t xml:space="preserve">er </w:t>
      </w:r>
      <w:r w:rsidR="00DA107E">
        <w:rPr>
          <w:rFonts w:cs="Arial"/>
          <w:lang w:eastAsia="ar-SA"/>
        </w:rPr>
        <w:t>a</w:t>
      </w:r>
      <w:r w:rsidR="00513B81">
        <w:rPr>
          <w:rFonts w:cs="Arial"/>
          <w:lang w:eastAsia="ar-SA"/>
        </w:rPr>
        <w:t>nnum</w:t>
      </w:r>
      <w:r w:rsidR="00DA107E">
        <w:rPr>
          <w:rFonts w:cs="Arial"/>
          <w:lang w:eastAsia="ar-SA"/>
        </w:rPr>
        <w:t xml:space="preserve"> for each of the 3 years of the MTFS, </w:t>
      </w:r>
      <w:r w:rsidRPr="00F22280">
        <w:rPr>
          <w:rFonts w:cs="Arial"/>
          <w:lang w:eastAsia="ar-SA"/>
        </w:rPr>
        <w:t xml:space="preserve">was to be made by the cessation of Discretionary Freedom passes for new applicants.  Having considered the feedback from the consultation, the Portfolio holder for Finance and Human Resources </w:t>
      </w:r>
      <w:r w:rsidR="00DA107E">
        <w:rPr>
          <w:rFonts w:cs="Arial"/>
          <w:lang w:eastAsia="ar-SA"/>
        </w:rPr>
        <w:t xml:space="preserve">has </w:t>
      </w:r>
      <w:r w:rsidRPr="00F22280">
        <w:rPr>
          <w:rFonts w:cs="Arial"/>
          <w:lang w:eastAsia="ar-SA"/>
        </w:rPr>
        <w:t xml:space="preserve">decided not to implement the change and therefore the saving </w:t>
      </w:r>
      <w:r w:rsidR="00E07776">
        <w:rPr>
          <w:rFonts w:cs="Arial"/>
          <w:lang w:eastAsia="ar-SA"/>
        </w:rPr>
        <w:t>is</w:t>
      </w:r>
      <w:r w:rsidRPr="00F22280">
        <w:rPr>
          <w:rFonts w:cs="Arial"/>
          <w:lang w:eastAsia="ar-SA"/>
        </w:rPr>
        <w:t xml:space="preserve"> reversed out of the budget.</w:t>
      </w:r>
    </w:p>
    <w:p w14:paraId="7AB43C72" w14:textId="635FF463" w:rsidR="003C71F1" w:rsidRPr="00D666A8" w:rsidRDefault="003C71F1" w:rsidP="00DA107E">
      <w:pPr>
        <w:suppressAutoHyphens/>
        <w:ind w:left="709" w:hanging="709"/>
        <w:jc w:val="both"/>
        <w:rPr>
          <w:rFonts w:cs="Arial"/>
          <w:highlight w:val="yellow"/>
          <w:lang w:eastAsia="ar-SA"/>
        </w:rPr>
      </w:pPr>
    </w:p>
    <w:p w14:paraId="29A7E3EF" w14:textId="77777777" w:rsidR="00717CF8" w:rsidRPr="00D431FE" w:rsidRDefault="00717CF8" w:rsidP="00846BD6">
      <w:pPr>
        <w:suppressAutoHyphens/>
        <w:ind w:left="709" w:firstLine="11"/>
        <w:jc w:val="both"/>
        <w:rPr>
          <w:rFonts w:cs="Arial"/>
          <w:lang w:eastAsia="ar-SA"/>
        </w:rPr>
      </w:pPr>
    </w:p>
    <w:p w14:paraId="56D1DE11" w14:textId="77777777" w:rsidR="006203E7" w:rsidRPr="00D431FE" w:rsidRDefault="007C565F" w:rsidP="00387B75">
      <w:pPr>
        <w:jc w:val="both"/>
        <w:rPr>
          <w:b/>
        </w:rPr>
      </w:pPr>
      <w:r w:rsidRPr="00D431FE">
        <w:rPr>
          <w:b/>
        </w:rPr>
        <w:t>3.0</w:t>
      </w:r>
      <w:r w:rsidRPr="00D431FE">
        <w:rPr>
          <w:b/>
        </w:rPr>
        <w:tab/>
      </w:r>
      <w:r w:rsidR="00825A11" w:rsidRPr="00D431FE">
        <w:rPr>
          <w:b/>
        </w:rPr>
        <w:t>PERFORMANCE I</w:t>
      </w:r>
      <w:r w:rsidR="003D629F" w:rsidRPr="00D431FE">
        <w:rPr>
          <w:b/>
        </w:rPr>
        <w:t>SSUES</w:t>
      </w:r>
    </w:p>
    <w:p w14:paraId="76A155DE" w14:textId="287976DE" w:rsidR="00A21035" w:rsidRPr="00D431FE" w:rsidRDefault="00735D19" w:rsidP="00387B75">
      <w:pPr>
        <w:jc w:val="both"/>
      </w:pPr>
      <w:r w:rsidRPr="00D431FE">
        <w:rPr>
          <w:b/>
        </w:rPr>
        <w:t xml:space="preserve"> </w:t>
      </w:r>
      <w:r w:rsidR="00825A11" w:rsidRPr="00D431FE">
        <w:tab/>
        <w:t xml:space="preserve"> </w:t>
      </w:r>
    </w:p>
    <w:p w14:paraId="26681033" w14:textId="71E42075" w:rsidR="00825A11" w:rsidRDefault="00A21035" w:rsidP="00846BD6">
      <w:pPr>
        <w:ind w:left="709" w:hanging="709"/>
        <w:jc w:val="both"/>
      </w:pPr>
      <w:r w:rsidRPr="00D431FE">
        <w:t>3.</w:t>
      </w:r>
      <w:r w:rsidR="00967F1C" w:rsidRPr="00D431FE">
        <w:t>1</w:t>
      </w:r>
      <w:r w:rsidRPr="00D431FE">
        <w:tab/>
        <w:t>In terms of financial performance</w:t>
      </w:r>
      <w:r w:rsidR="003B70D6" w:rsidRPr="00D431FE">
        <w:t>, Cabinet</w:t>
      </w:r>
      <w:r w:rsidRPr="00D431FE">
        <w:t xml:space="preserve"> </w:t>
      </w:r>
      <w:r w:rsidR="00F14862" w:rsidRPr="00D431FE">
        <w:t>is</w:t>
      </w:r>
      <w:r w:rsidRPr="00D431FE">
        <w:t xml:space="preserve"> updated </w:t>
      </w:r>
      <w:r w:rsidR="001F2295" w:rsidRPr="00D431FE">
        <w:t>quarterly</w:t>
      </w:r>
      <w:r w:rsidR="00B66836" w:rsidRPr="00D431FE">
        <w:t xml:space="preserve"> </w:t>
      </w:r>
      <w:r w:rsidRPr="00D431FE">
        <w:t>o</w:t>
      </w:r>
      <w:r w:rsidR="00CB32C5" w:rsidRPr="00D431FE">
        <w:t>n</w:t>
      </w:r>
      <w:r w:rsidRPr="00D431FE">
        <w:t xml:space="preserve"> forecast spend against the agreed budget and </w:t>
      </w:r>
      <w:r w:rsidR="003B70D6" w:rsidRPr="00D431FE">
        <w:t>achievement</w:t>
      </w:r>
      <w:r w:rsidRPr="00D431FE">
        <w:t xml:space="preserve"> of savings built into the budget. </w:t>
      </w:r>
      <w:r w:rsidR="00967F1C" w:rsidRPr="00D431FE">
        <w:t xml:space="preserve">The same information is also presented to the Performance and Finance Scrutiny Sub Committee regularly throughout the year. </w:t>
      </w:r>
    </w:p>
    <w:p w14:paraId="3BBE6770" w14:textId="77777777" w:rsidR="006C75F9" w:rsidRPr="00D431FE" w:rsidRDefault="006C75F9" w:rsidP="000A7631">
      <w:pPr>
        <w:jc w:val="both"/>
      </w:pPr>
    </w:p>
    <w:p w14:paraId="07B70BC7" w14:textId="77777777" w:rsidR="00F9029E" w:rsidRPr="00D666A8" w:rsidRDefault="00F9029E" w:rsidP="00F9029E">
      <w:pPr>
        <w:rPr>
          <w:highlight w:val="yellow"/>
        </w:rPr>
      </w:pPr>
    </w:p>
    <w:p w14:paraId="725628D2" w14:textId="6E68F4CD" w:rsidR="003975E1" w:rsidRPr="00D431FE" w:rsidRDefault="003975E1" w:rsidP="003975E1"/>
    <w:p w14:paraId="423F1831" w14:textId="4C410D96" w:rsidR="003975E1" w:rsidRPr="00D431FE" w:rsidRDefault="003975E1" w:rsidP="003975E1">
      <w:pPr>
        <w:pStyle w:val="Heading2"/>
        <w:jc w:val="both"/>
        <w:rPr>
          <w:sz w:val="24"/>
          <w:szCs w:val="24"/>
        </w:rPr>
      </w:pPr>
      <w:r w:rsidRPr="00D431FE">
        <w:rPr>
          <w:sz w:val="24"/>
          <w:szCs w:val="24"/>
        </w:rPr>
        <w:t>4.0</w:t>
      </w:r>
      <w:r w:rsidRPr="00D431FE">
        <w:rPr>
          <w:sz w:val="24"/>
          <w:szCs w:val="24"/>
        </w:rPr>
        <w:tab/>
        <w:t>RISK MANAGEMENT IMPLICATIONS</w:t>
      </w:r>
      <w:r w:rsidR="005C7C99" w:rsidRPr="00D431FE">
        <w:rPr>
          <w:sz w:val="24"/>
          <w:szCs w:val="24"/>
        </w:rPr>
        <w:t xml:space="preserve"> </w:t>
      </w:r>
    </w:p>
    <w:p w14:paraId="76B32468" w14:textId="77777777" w:rsidR="006203E7" w:rsidRPr="00D431FE" w:rsidRDefault="006203E7" w:rsidP="006203E7"/>
    <w:p w14:paraId="098FE419" w14:textId="082AFCFA" w:rsidR="003975E1" w:rsidRPr="00D431FE" w:rsidRDefault="003975E1" w:rsidP="003975E1">
      <w:pPr>
        <w:ind w:left="709" w:hanging="709"/>
        <w:jc w:val="both"/>
      </w:pPr>
      <w:r w:rsidRPr="00D431FE">
        <w:t>4.1</w:t>
      </w:r>
      <w:r w:rsidRPr="00D431FE">
        <w:tab/>
        <w:t>Risks included on corporate or directorate risk register? Yes – Inability to deliver the Council’s MTFS is included in the Corporate Risk Register</w:t>
      </w:r>
    </w:p>
    <w:p w14:paraId="702E53D1" w14:textId="77777777" w:rsidR="003975E1" w:rsidRPr="00D431FE" w:rsidRDefault="003975E1" w:rsidP="003975E1">
      <w:pPr>
        <w:ind w:left="709" w:hanging="709"/>
        <w:jc w:val="both"/>
      </w:pPr>
    </w:p>
    <w:p w14:paraId="3C5276BB" w14:textId="497F8388" w:rsidR="003975E1" w:rsidRPr="00D431FE" w:rsidRDefault="003975E1" w:rsidP="003975E1">
      <w:pPr>
        <w:ind w:left="709" w:hanging="709"/>
        <w:jc w:val="both"/>
      </w:pPr>
      <w:r w:rsidRPr="00D431FE">
        <w:tab/>
        <w:t xml:space="preserve">Separate risk register in place? No </w:t>
      </w:r>
      <w:r w:rsidR="002A676A" w:rsidRPr="00D431FE">
        <w:t xml:space="preserve"> </w:t>
      </w:r>
    </w:p>
    <w:p w14:paraId="42A1BCE0" w14:textId="77777777" w:rsidR="003975E1" w:rsidRPr="00D431FE" w:rsidRDefault="003975E1" w:rsidP="003975E1">
      <w:pPr>
        <w:ind w:left="709" w:hanging="709"/>
        <w:jc w:val="both"/>
      </w:pPr>
    </w:p>
    <w:p w14:paraId="51D7A827" w14:textId="2263E55A" w:rsidR="003975E1" w:rsidRPr="00D431FE" w:rsidRDefault="003975E1" w:rsidP="003975E1">
      <w:pPr>
        <w:ind w:left="709" w:hanging="709"/>
        <w:jc w:val="both"/>
      </w:pPr>
      <w:r w:rsidRPr="00D431FE">
        <w:tab/>
        <w:t>The relevant risks contained in the register are attached/summarised below. Yes</w:t>
      </w:r>
    </w:p>
    <w:p w14:paraId="595AC4A5" w14:textId="77777777" w:rsidR="003975E1" w:rsidRPr="00D431FE" w:rsidRDefault="003975E1" w:rsidP="003975E1">
      <w:pPr>
        <w:ind w:left="709" w:hanging="709"/>
        <w:jc w:val="both"/>
      </w:pPr>
      <w:r w:rsidRPr="00D431FE">
        <w:tab/>
      </w:r>
    </w:p>
    <w:p w14:paraId="323EEA6F" w14:textId="11683D44" w:rsidR="003975E1" w:rsidRDefault="003975E1" w:rsidP="002C0934">
      <w:pPr>
        <w:ind w:left="709" w:hanging="709"/>
        <w:jc w:val="both"/>
      </w:pPr>
      <w:r w:rsidRPr="00D431FE">
        <w:tab/>
        <w:t xml:space="preserve">The following key risks should be </w:t>
      </w:r>
      <w:r w:rsidR="002A676A" w:rsidRPr="00D431FE">
        <w:t>considered</w:t>
      </w:r>
      <w:r w:rsidRPr="00D431FE">
        <w:t xml:space="preserve"> when agreeing the recommendations in this report:</w:t>
      </w:r>
    </w:p>
    <w:p w14:paraId="6703066F" w14:textId="179E3B54" w:rsidR="00587A40" w:rsidRDefault="00587A40" w:rsidP="002C0934">
      <w:pPr>
        <w:ind w:left="709" w:hanging="709"/>
        <w:jc w:val="both"/>
      </w:pPr>
    </w:p>
    <w:p w14:paraId="6D591C31" w14:textId="77777777" w:rsidR="002C0934" w:rsidRPr="00D666A8" w:rsidRDefault="002C0934" w:rsidP="00587A40">
      <w:pPr>
        <w:jc w:val="both"/>
        <w:rPr>
          <w:highlight w:val="yellow"/>
        </w:rPr>
      </w:pPr>
    </w:p>
    <w:tbl>
      <w:tblPr>
        <w:tblStyle w:val="TableGrid"/>
        <w:tblW w:w="8784" w:type="dxa"/>
        <w:tblInd w:w="709" w:type="dxa"/>
        <w:tblLook w:val="04A0" w:firstRow="1" w:lastRow="0" w:firstColumn="1" w:lastColumn="0" w:noHBand="0" w:noVBand="1"/>
      </w:tblPr>
      <w:tblGrid>
        <w:gridCol w:w="2689"/>
        <w:gridCol w:w="4394"/>
        <w:gridCol w:w="1701"/>
      </w:tblGrid>
      <w:tr w:rsidR="003975E1" w:rsidRPr="00B31AF7" w14:paraId="268695B7" w14:textId="77777777" w:rsidTr="00587A40">
        <w:trPr>
          <w:trHeight w:val="540"/>
        </w:trPr>
        <w:tc>
          <w:tcPr>
            <w:tcW w:w="2689" w:type="dxa"/>
          </w:tcPr>
          <w:p w14:paraId="4F0E7D50" w14:textId="77777777" w:rsidR="003975E1" w:rsidRPr="00C12878" w:rsidRDefault="003975E1" w:rsidP="003C497A">
            <w:pPr>
              <w:jc w:val="both"/>
              <w:rPr>
                <w:b/>
                <w:bCs/>
              </w:rPr>
            </w:pPr>
            <w:bookmarkStart w:id="16" w:name="_Hlk120785164"/>
            <w:r w:rsidRPr="00C12878">
              <w:rPr>
                <w:b/>
                <w:bCs/>
                <w:color w:val="000000"/>
                <w:sz w:val="27"/>
                <w:szCs w:val="27"/>
              </w:rPr>
              <w:t xml:space="preserve">Risk Description </w:t>
            </w:r>
          </w:p>
        </w:tc>
        <w:tc>
          <w:tcPr>
            <w:tcW w:w="4394" w:type="dxa"/>
          </w:tcPr>
          <w:p w14:paraId="79EA3C27" w14:textId="77777777" w:rsidR="003975E1" w:rsidRPr="00C12878" w:rsidRDefault="003975E1" w:rsidP="003C497A">
            <w:pPr>
              <w:jc w:val="both"/>
              <w:rPr>
                <w:b/>
                <w:bCs/>
              </w:rPr>
            </w:pPr>
            <w:r w:rsidRPr="00C12878">
              <w:rPr>
                <w:b/>
                <w:bCs/>
                <w:color w:val="000000"/>
                <w:sz w:val="27"/>
                <w:szCs w:val="27"/>
              </w:rPr>
              <w:t xml:space="preserve">Mitigations </w:t>
            </w:r>
          </w:p>
        </w:tc>
        <w:tc>
          <w:tcPr>
            <w:tcW w:w="1701" w:type="dxa"/>
            <w:vAlign w:val="center"/>
          </w:tcPr>
          <w:p w14:paraId="2A12990F" w14:textId="77777777" w:rsidR="003975E1" w:rsidRPr="00C12878" w:rsidRDefault="003975E1" w:rsidP="00587A40">
            <w:pPr>
              <w:jc w:val="center"/>
              <w:rPr>
                <w:b/>
                <w:bCs/>
              </w:rPr>
            </w:pPr>
            <w:r w:rsidRPr="00C12878">
              <w:rPr>
                <w:b/>
                <w:bCs/>
                <w:color w:val="000000"/>
                <w:sz w:val="27"/>
                <w:szCs w:val="27"/>
              </w:rPr>
              <w:t>RAG Status</w:t>
            </w:r>
          </w:p>
        </w:tc>
      </w:tr>
      <w:tr w:rsidR="003975E1" w:rsidRPr="00B31AF7" w14:paraId="20B3CCC4" w14:textId="77777777" w:rsidTr="00587A40">
        <w:trPr>
          <w:trHeight w:val="1263"/>
        </w:trPr>
        <w:tc>
          <w:tcPr>
            <w:tcW w:w="2689" w:type="dxa"/>
          </w:tcPr>
          <w:p w14:paraId="142A48FA" w14:textId="77777777" w:rsidR="003975E1" w:rsidRPr="00101C0A" w:rsidRDefault="003975E1" w:rsidP="003C497A">
            <w:pPr>
              <w:jc w:val="both"/>
            </w:pPr>
            <w:r w:rsidRPr="00101C0A">
              <w:t>Inability to deliver the Council’s approved MTFS - over the next 3 years leading to an inability to set a balanced budget and provide core services</w:t>
            </w:r>
          </w:p>
        </w:tc>
        <w:tc>
          <w:tcPr>
            <w:tcW w:w="4394" w:type="dxa"/>
          </w:tcPr>
          <w:p w14:paraId="6C0752DD" w14:textId="09DC66C7" w:rsidR="002C0934" w:rsidRPr="00101C0A" w:rsidRDefault="002C0934" w:rsidP="00537E00">
            <w:pPr>
              <w:numPr>
                <w:ilvl w:val="0"/>
                <w:numId w:val="6"/>
              </w:numPr>
              <w:ind w:left="370" w:hanging="370"/>
              <w:rPr>
                <w:rFonts w:eastAsia="Calibri" w:cs="Arial"/>
                <w:szCs w:val="24"/>
              </w:rPr>
            </w:pPr>
            <w:r w:rsidRPr="00101C0A">
              <w:rPr>
                <w:rFonts w:eastAsia="Calibri" w:cs="Arial"/>
                <w:szCs w:val="24"/>
              </w:rPr>
              <w:t>In-year Revenue &amp; Capital monitoring reported to C</w:t>
            </w:r>
            <w:r w:rsidR="00101C0A">
              <w:rPr>
                <w:rFonts w:eastAsia="Calibri" w:cs="Arial"/>
                <w:szCs w:val="24"/>
              </w:rPr>
              <w:t>LT monthly, as well as the Portfolio Holder for Finance and HR</w:t>
            </w:r>
            <w:r w:rsidRPr="00101C0A">
              <w:rPr>
                <w:rFonts w:eastAsia="Calibri" w:cs="Arial"/>
                <w:szCs w:val="24"/>
              </w:rPr>
              <w:t xml:space="preserve">, </w:t>
            </w:r>
            <w:r w:rsidR="001E615E">
              <w:rPr>
                <w:rFonts w:eastAsia="Calibri" w:cs="Arial"/>
                <w:szCs w:val="24"/>
              </w:rPr>
              <w:t xml:space="preserve">and </w:t>
            </w:r>
            <w:r w:rsidRPr="00101C0A">
              <w:rPr>
                <w:rFonts w:eastAsia="Calibri" w:cs="Arial"/>
                <w:szCs w:val="24"/>
              </w:rPr>
              <w:t xml:space="preserve">Cabinet </w:t>
            </w:r>
            <w:r w:rsidR="001E615E">
              <w:rPr>
                <w:rFonts w:eastAsia="Calibri" w:cs="Arial"/>
                <w:szCs w:val="24"/>
              </w:rPr>
              <w:t>on a quarterly basis.</w:t>
            </w:r>
          </w:p>
          <w:p w14:paraId="7002D082" w14:textId="325FC43E" w:rsidR="002C0934" w:rsidRDefault="002C0934" w:rsidP="00537E00">
            <w:pPr>
              <w:numPr>
                <w:ilvl w:val="0"/>
                <w:numId w:val="6"/>
              </w:numPr>
              <w:ind w:left="370" w:hanging="370"/>
              <w:rPr>
                <w:rFonts w:eastAsia="Calibri" w:cs="Arial"/>
                <w:szCs w:val="24"/>
              </w:rPr>
            </w:pPr>
            <w:r w:rsidRPr="00101C0A">
              <w:rPr>
                <w:rFonts w:eastAsia="Calibri" w:cs="Arial"/>
                <w:szCs w:val="24"/>
              </w:rPr>
              <w:t>Budget challenge sessions held to tackle in year pressures</w:t>
            </w:r>
            <w:r w:rsidR="001D5B42">
              <w:rPr>
                <w:rFonts w:eastAsia="Calibri" w:cs="Arial"/>
                <w:szCs w:val="24"/>
              </w:rPr>
              <w:t xml:space="preserve"> in August and Sept 2023</w:t>
            </w:r>
            <w:r w:rsidR="001E615E">
              <w:rPr>
                <w:rFonts w:eastAsia="Calibri" w:cs="Arial"/>
                <w:szCs w:val="24"/>
              </w:rPr>
              <w:t>.</w:t>
            </w:r>
            <w:r w:rsidRPr="00101C0A">
              <w:rPr>
                <w:rFonts w:eastAsia="Calibri" w:cs="Arial"/>
                <w:szCs w:val="24"/>
              </w:rPr>
              <w:t xml:space="preserve"> </w:t>
            </w:r>
          </w:p>
          <w:p w14:paraId="5E1FC5E0" w14:textId="7761959C" w:rsidR="001E615E" w:rsidRPr="00101C0A" w:rsidRDefault="001E615E" w:rsidP="00537E00">
            <w:pPr>
              <w:numPr>
                <w:ilvl w:val="0"/>
                <w:numId w:val="6"/>
              </w:numPr>
              <w:ind w:left="370" w:hanging="370"/>
              <w:rPr>
                <w:rFonts w:eastAsia="Calibri" w:cs="Arial"/>
                <w:szCs w:val="24"/>
              </w:rPr>
            </w:pPr>
            <w:r>
              <w:rPr>
                <w:rFonts w:eastAsia="Calibri" w:cs="Arial"/>
                <w:szCs w:val="24"/>
              </w:rPr>
              <w:t>Savings are tracked on a monthly basis via the MTFS savings tracker</w:t>
            </w:r>
          </w:p>
          <w:p w14:paraId="2E71FAD0" w14:textId="2655ABC1" w:rsidR="003975E1" w:rsidRPr="00587A40" w:rsidRDefault="00C12878" w:rsidP="00587A40">
            <w:pPr>
              <w:numPr>
                <w:ilvl w:val="0"/>
                <w:numId w:val="6"/>
              </w:numPr>
              <w:ind w:left="370" w:hanging="370"/>
              <w:rPr>
                <w:rFonts w:eastAsia="Calibri" w:cs="Arial"/>
                <w:szCs w:val="24"/>
              </w:rPr>
            </w:pPr>
            <w:r>
              <w:rPr>
                <w:rFonts w:eastAsia="Calibri" w:cs="Arial"/>
                <w:szCs w:val="24"/>
              </w:rPr>
              <w:t xml:space="preserve">Budget for 2024/25 is balanced so the focus for attention is the 2025/26 </w:t>
            </w:r>
            <w:r w:rsidR="00D95F52">
              <w:rPr>
                <w:rFonts w:eastAsia="Calibri" w:cs="Arial"/>
                <w:szCs w:val="24"/>
              </w:rPr>
              <w:t xml:space="preserve">and 2026/27 </w:t>
            </w:r>
            <w:r>
              <w:rPr>
                <w:rFonts w:eastAsia="Calibri" w:cs="Arial"/>
                <w:szCs w:val="24"/>
              </w:rPr>
              <w:t>budget gap</w:t>
            </w:r>
            <w:r w:rsidR="00D95F52">
              <w:rPr>
                <w:rFonts w:eastAsia="Calibri" w:cs="Arial"/>
                <w:szCs w:val="24"/>
              </w:rPr>
              <w:t>s</w:t>
            </w:r>
            <w:r>
              <w:rPr>
                <w:rFonts w:eastAsia="Calibri" w:cs="Arial"/>
                <w:szCs w:val="24"/>
              </w:rPr>
              <w:t>.</w:t>
            </w:r>
          </w:p>
        </w:tc>
        <w:tc>
          <w:tcPr>
            <w:tcW w:w="1701" w:type="dxa"/>
            <w:shd w:val="clear" w:color="auto" w:fill="FF0000"/>
            <w:vAlign w:val="center"/>
          </w:tcPr>
          <w:p w14:paraId="22834326" w14:textId="2F7C594E" w:rsidR="003975E1" w:rsidRPr="00615C75" w:rsidRDefault="00513B81" w:rsidP="00615C75">
            <w:pPr>
              <w:jc w:val="center"/>
            </w:pPr>
            <w:r w:rsidRPr="000A7631">
              <w:rPr>
                <w:b/>
                <w:bCs/>
              </w:rPr>
              <w:t>RED</w:t>
            </w:r>
          </w:p>
        </w:tc>
      </w:tr>
      <w:bookmarkEnd w:id="16"/>
      <w:tr w:rsidR="003975E1" w:rsidRPr="00B31AF7" w14:paraId="2D417265" w14:textId="77777777" w:rsidTr="00587A40">
        <w:tc>
          <w:tcPr>
            <w:tcW w:w="2689" w:type="dxa"/>
          </w:tcPr>
          <w:p w14:paraId="2CC34B61" w14:textId="24C52283" w:rsidR="003975E1" w:rsidRPr="00101C0A" w:rsidRDefault="003975E1" w:rsidP="003C497A">
            <w:pPr>
              <w:jc w:val="both"/>
            </w:pPr>
            <w:r w:rsidRPr="00101C0A">
              <w:lastRenderedPageBreak/>
              <w:t xml:space="preserve"> The draft budget </w:t>
            </w:r>
            <w:r w:rsidR="002C0934" w:rsidRPr="00101C0A">
              <w:t>and MTFS is based</w:t>
            </w:r>
            <w:r w:rsidRPr="00101C0A">
              <w:t xml:space="preserve"> on the </w:t>
            </w:r>
            <w:r w:rsidR="00101C0A" w:rsidRPr="00101C0A">
              <w:t>2023/24</w:t>
            </w:r>
            <w:r w:rsidRPr="00101C0A">
              <w:t xml:space="preserve"> Financial Settlement</w:t>
            </w:r>
            <w:r w:rsidR="002C0934" w:rsidRPr="00101C0A">
              <w:t>,</w:t>
            </w:r>
            <w:r w:rsidRPr="00101C0A">
              <w:t xml:space="preserve"> </w:t>
            </w:r>
            <w:r w:rsidR="00101C0A" w:rsidRPr="00101C0A">
              <w:t xml:space="preserve">which was received in December 2022.  The 2024/25 Finance settlement will not be announced until </w:t>
            </w:r>
            <w:r w:rsidR="002C0934" w:rsidRPr="00101C0A">
              <w:t>19 December</w:t>
            </w:r>
            <w:r w:rsidR="00101C0A" w:rsidRPr="00101C0A">
              <w:t xml:space="preserve"> 2023, so there is still uncertainty in </w:t>
            </w:r>
            <w:r w:rsidR="009F45A5">
              <w:t>many</w:t>
            </w:r>
            <w:r w:rsidR="00101C0A" w:rsidRPr="00101C0A">
              <w:t xml:space="preserve"> of the numbers. </w:t>
            </w:r>
          </w:p>
          <w:p w14:paraId="5B2F895A" w14:textId="77777777" w:rsidR="003975E1" w:rsidRPr="00101C0A" w:rsidRDefault="003975E1" w:rsidP="003C497A">
            <w:pPr>
              <w:jc w:val="both"/>
            </w:pPr>
          </w:p>
        </w:tc>
        <w:tc>
          <w:tcPr>
            <w:tcW w:w="4394" w:type="dxa"/>
          </w:tcPr>
          <w:p w14:paraId="49B5159D" w14:textId="32E9C71C" w:rsidR="003975E1"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Draft budget</w:t>
            </w:r>
            <w:r w:rsidR="002C0934" w:rsidRPr="00101C0A">
              <w:rPr>
                <w:rFonts w:ascii="Arial" w:hAnsi="Arial" w:cs="Arial"/>
                <w:sz w:val="24"/>
                <w:szCs w:val="24"/>
              </w:rPr>
              <w:t xml:space="preserve"> and MTFS</w:t>
            </w:r>
            <w:r w:rsidRPr="00101C0A">
              <w:rPr>
                <w:rFonts w:ascii="Arial" w:hAnsi="Arial" w:cs="Arial"/>
                <w:sz w:val="24"/>
                <w:szCs w:val="24"/>
              </w:rPr>
              <w:t xml:space="preserve"> based on most up to date information from London Councils and DHLUC based on prudent assumptions </w:t>
            </w:r>
          </w:p>
          <w:p w14:paraId="4639B03F" w14:textId="0A46601A" w:rsidR="00383A64"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 xml:space="preserve">The final budget will be prepared </w:t>
            </w:r>
            <w:r w:rsidR="00493931" w:rsidRPr="00101C0A">
              <w:rPr>
                <w:rFonts w:ascii="Arial" w:hAnsi="Arial" w:cs="Arial"/>
                <w:sz w:val="24"/>
                <w:szCs w:val="24"/>
              </w:rPr>
              <w:t>considering</w:t>
            </w:r>
            <w:r w:rsidRPr="00101C0A">
              <w:rPr>
                <w:rFonts w:ascii="Arial" w:hAnsi="Arial" w:cs="Arial"/>
                <w:sz w:val="24"/>
                <w:szCs w:val="24"/>
              </w:rPr>
              <w:t xml:space="preserve"> the Final Settlement</w:t>
            </w:r>
            <w:r w:rsidR="00383A64" w:rsidRPr="00101C0A">
              <w:rPr>
                <w:rFonts w:ascii="Arial" w:hAnsi="Arial" w:cs="Arial"/>
                <w:sz w:val="24"/>
                <w:szCs w:val="24"/>
              </w:rPr>
              <w:t xml:space="preserve">. Any changes will have to comply with the legal requirement to </w:t>
            </w:r>
            <w:r w:rsidR="00945ADD" w:rsidRPr="00101C0A">
              <w:rPr>
                <w:rFonts w:ascii="Arial" w:hAnsi="Arial" w:cs="Arial"/>
                <w:sz w:val="24"/>
                <w:szCs w:val="24"/>
              </w:rPr>
              <w:t>set a</w:t>
            </w:r>
            <w:r w:rsidR="00383A64" w:rsidRPr="00101C0A">
              <w:rPr>
                <w:rFonts w:ascii="Arial" w:hAnsi="Arial" w:cs="Arial"/>
                <w:sz w:val="24"/>
                <w:szCs w:val="24"/>
              </w:rPr>
              <w:t xml:space="preserve"> balanced budget</w:t>
            </w:r>
            <w:r w:rsidR="001E615E">
              <w:rPr>
                <w:rFonts w:ascii="Arial" w:hAnsi="Arial" w:cs="Arial"/>
                <w:sz w:val="24"/>
                <w:szCs w:val="24"/>
              </w:rPr>
              <w:t>.</w:t>
            </w:r>
          </w:p>
          <w:p w14:paraId="1AD7A315" w14:textId="0F7A6283" w:rsidR="003975E1" w:rsidRPr="00101C0A" w:rsidRDefault="003975E1" w:rsidP="00537E00">
            <w:pPr>
              <w:pStyle w:val="NoSpacing"/>
              <w:numPr>
                <w:ilvl w:val="0"/>
                <w:numId w:val="6"/>
              </w:numPr>
              <w:shd w:val="clear" w:color="auto" w:fill="FFFFFF"/>
              <w:ind w:left="370" w:hanging="370"/>
              <w:rPr>
                <w:rFonts w:ascii="Arial" w:hAnsi="Arial" w:cs="Arial"/>
                <w:sz w:val="24"/>
                <w:szCs w:val="24"/>
              </w:rPr>
            </w:pPr>
            <w:r w:rsidRPr="00101C0A">
              <w:rPr>
                <w:rFonts w:ascii="Arial" w:hAnsi="Arial" w:cs="Arial"/>
                <w:sz w:val="24"/>
                <w:szCs w:val="24"/>
              </w:rPr>
              <w:t>There is a contingency for unforeseen items (£1.248m) which is intended to support uncertain</w:t>
            </w:r>
            <w:r w:rsidR="00383A64" w:rsidRPr="00101C0A">
              <w:rPr>
                <w:rFonts w:ascii="Arial" w:hAnsi="Arial" w:cs="Arial"/>
                <w:sz w:val="24"/>
                <w:szCs w:val="24"/>
              </w:rPr>
              <w:t>ty</w:t>
            </w:r>
          </w:p>
        </w:tc>
        <w:tc>
          <w:tcPr>
            <w:tcW w:w="1701" w:type="dxa"/>
            <w:shd w:val="clear" w:color="auto" w:fill="FFC000"/>
            <w:vAlign w:val="center"/>
          </w:tcPr>
          <w:p w14:paraId="5D980D42" w14:textId="6DA0B707" w:rsidR="003975E1" w:rsidRPr="00615C75" w:rsidRDefault="00513B81" w:rsidP="00615C75">
            <w:pPr>
              <w:jc w:val="center"/>
            </w:pPr>
            <w:r w:rsidRPr="000A7631">
              <w:rPr>
                <w:b/>
                <w:bCs/>
              </w:rPr>
              <w:t>AMBER</w:t>
            </w:r>
          </w:p>
        </w:tc>
      </w:tr>
      <w:tr w:rsidR="003975E1" w:rsidRPr="00B31AF7" w14:paraId="65BB8870" w14:textId="77777777" w:rsidTr="00587A40">
        <w:tc>
          <w:tcPr>
            <w:tcW w:w="2689" w:type="dxa"/>
          </w:tcPr>
          <w:p w14:paraId="7280AFD3" w14:textId="1ED64A66" w:rsidR="003975E1" w:rsidRPr="00C12878" w:rsidRDefault="003975E1" w:rsidP="003C497A">
            <w:pPr>
              <w:jc w:val="both"/>
            </w:pPr>
            <w:r w:rsidRPr="00C12878">
              <w:t>Balanced budget for 202</w:t>
            </w:r>
            <w:r w:rsidR="00C12878" w:rsidRPr="00C12878">
              <w:t>3</w:t>
            </w:r>
            <w:r w:rsidR="00493931" w:rsidRPr="00C12878">
              <w:t>/2</w:t>
            </w:r>
            <w:r w:rsidR="00C12878" w:rsidRPr="00C12878">
              <w:t>4</w:t>
            </w:r>
            <w:r w:rsidRPr="00C12878">
              <w:t xml:space="preserve"> not achieved adversely impacting on the 202</w:t>
            </w:r>
            <w:r w:rsidR="00C12878" w:rsidRPr="00C12878">
              <w:t>4</w:t>
            </w:r>
            <w:r w:rsidRPr="00C12878">
              <w:t>/2</w:t>
            </w:r>
            <w:r w:rsidR="00C12878" w:rsidRPr="00C12878">
              <w:t>5</w:t>
            </w:r>
            <w:r w:rsidRPr="00C12878">
              <w:t xml:space="preserve"> budget </w:t>
            </w:r>
          </w:p>
        </w:tc>
        <w:tc>
          <w:tcPr>
            <w:tcW w:w="4394" w:type="dxa"/>
          </w:tcPr>
          <w:p w14:paraId="4F9986DD" w14:textId="0BD1D3E2" w:rsidR="00493931" w:rsidRPr="00C12878" w:rsidRDefault="0049393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 ‘Q2 Revenue and Capital Report’ forecasts a net overspend of £1.</w:t>
            </w:r>
            <w:r w:rsidR="00C12878" w:rsidRPr="00C12878">
              <w:rPr>
                <w:rFonts w:ascii="Arial" w:hAnsi="Arial" w:cs="Arial"/>
                <w:sz w:val="24"/>
                <w:szCs w:val="24"/>
              </w:rPr>
              <w:t>4</w:t>
            </w:r>
            <w:r w:rsidRPr="00C12878">
              <w:rPr>
                <w:rFonts w:ascii="Arial" w:hAnsi="Arial" w:cs="Arial"/>
                <w:sz w:val="24"/>
                <w:szCs w:val="24"/>
              </w:rPr>
              <w:t xml:space="preserve">m.  </w:t>
            </w:r>
            <w:r w:rsidR="00C12878" w:rsidRPr="00C12878">
              <w:rPr>
                <w:rFonts w:ascii="Arial" w:hAnsi="Arial" w:cs="Arial"/>
                <w:sz w:val="24"/>
                <w:szCs w:val="24"/>
              </w:rPr>
              <w:t xml:space="preserve">It is anticipated that this </w:t>
            </w:r>
            <w:r w:rsidR="00287DC8">
              <w:rPr>
                <w:rFonts w:ascii="Arial" w:hAnsi="Arial" w:cs="Arial"/>
                <w:sz w:val="24"/>
                <w:szCs w:val="24"/>
              </w:rPr>
              <w:t>s</w:t>
            </w:r>
            <w:r w:rsidR="00513B81">
              <w:rPr>
                <w:rFonts w:ascii="Arial" w:hAnsi="Arial" w:cs="Arial"/>
                <w:sz w:val="24"/>
                <w:szCs w:val="24"/>
              </w:rPr>
              <w:t>hould</w:t>
            </w:r>
            <w:r w:rsidR="00C12878" w:rsidRPr="00C12878">
              <w:rPr>
                <w:rFonts w:ascii="Arial" w:hAnsi="Arial" w:cs="Arial"/>
                <w:sz w:val="24"/>
                <w:szCs w:val="24"/>
              </w:rPr>
              <w:t xml:space="preserve"> reduce by year end as forecasts build in anticipated spend which may not happen</w:t>
            </w:r>
            <w:r w:rsidR="00287DC8">
              <w:rPr>
                <w:rFonts w:ascii="Arial" w:hAnsi="Arial" w:cs="Arial"/>
                <w:sz w:val="24"/>
                <w:szCs w:val="24"/>
              </w:rPr>
              <w:t>.</w:t>
            </w:r>
          </w:p>
          <w:p w14:paraId="1D9BEA5C" w14:textId="0BBA35BC" w:rsidR="00493931" w:rsidRPr="00C12878" w:rsidRDefault="0049393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 estimated impact of 202</w:t>
            </w:r>
            <w:r w:rsidR="00513B81">
              <w:rPr>
                <w:rFonts w:ascii="Arial" w:hAnsi="Arial" w:cs="Arial"/>
                <w:sz w:val="24"/>
                <w:szCs w:val="24"/>
              </w:rPr>
              <w:t>3/</w:t>
            </w:r>
            <w:r w:rsidRPr="00C12878">
              <w:rPr>
                <w:rFonts w:ascii="Arial" w:hAnsi="Arial" w:cs="Arial"/>
                <w:sz w:val="24"/>
                <w:szCs w:val="24"/>
              </w:rPr>
              <w:t>2</w:t>
            </w:r>
            <w:r w:rsidR="00C12878" w:rsidRPr="00C12878">
              <w:rPr>
                <w:rFonts w:ascii="Arial" w:hAnsi="Arial" w:cs="Arial"/>
                <w:sz w:val="24"/>
                <w:szCs w:val="24"/>
              </w:rPr>
              <w:t>4</w:t>
            </w:r>
            <w:r w:rsidRPr="00C12878">
              <w:rPr>
                <w:rFonts w:ascii="Arial" w:hAnsi="Arial" w:cs="Arial"/>
                <w:sz w:val="24"/>
                <w:szCs w:val="24"/>
              </w:rPr>
              <w:t xml:space="preserve"> pressures into 202</w:t>
            </w:r>
            <w:r w:rsidR="00C12878" w:rsidRPr="00C12878">
              <w:rPr>
                <w:rFonts w:ascii="Arial" w:hAnsi="Arial" w:cs="Arial"/>
                <w:sz w:val="24"/>
                <w:szCs w:val="24"/>
              </w:rPr>
              <w:t>4</w:t>
            </w:r>
            <w:r w:rsidRPr="00C12878">
              <w:rPr>
                <w:rFonts w:ascii="Arial" w:hAnsi="Arial" w:cs="Arial"/>
                <w:sz w:val="24"/>
                <w:szCs w:val="24"/>
              </w:rPr>
              <w:t>/2</w:t>
            </w:r>
            <w:r w:rsidR="00C12878" w:rsidRPr="00C12878">
              <w:rPr>
                <w:rFonts w:ascii="Arial" w:hAnsi="Arial" w:cs="Arial"/>
                <w:sz w:val="24"/>
                <w:szCs w:val="24"/>
              </w:rPr>
              <w:t>5</w:t>
            </w:r>
            <w:r w:rsidRPr="00C12878">
              <w:rPr>
                <w:rFonts w:ascii="Arial" w:hAnsi="Arial" w:cs="Arial"/>
                <w:sz w:val="24"/>
                <w:szCs w:val="24"/>
              </w:rPr>
              <w:t xml:space="preserve"> are accounted </w:t>
            </w:r>
            <w:r w:rsidR="00513B81">
              <w:rPr>
                <w:rFonts w:ascii="Arial" w:hAnsi="Arial" w:cs="Arial"/>
                <w:sz w:val="24"/>
                <w:szCs w:val="24"/>
              </w:rPr>
              <w:t>f</w:t>
            </w:r>
            <w:r w:rsidRPr="00C12878">
              <w:rPr>
                <w:rFonts w:ascii="Arial" w:hAnsi="Arial" w:cs="Arial"/>
                <w:sz w:val="24"/>
                <w:szCs w:val="24"/>
              </w:rPr>
              <w:t>or in the draft budget and MTFS</w:t>
            </w:r>
          </w:p>
          <w:p w14:paraId="1110E762" w14:textId="5AC195B7" w:rsidR="003975E1" w:rsidRPr="00C12878" w:rsidRDefault="003975E1" w:rsidP="00537E00">
            <w:pPr>
              <w:pStyle w:val="NoSpacing"/>
              <w:numPr>
                <w:ilvl w:val="0"/>
                <w:numId w:val="6"/>
              </w:numPr>
              <w:shd w:val="clear" w:color="auto" w:fill="FFFFFF"/>
              <w:ind w:left="370" w:hanging="370"/>
              <w:rPr>
                <w:rFonts w:ascii="Arial" w:hAnsi="Arial" w:cs="Arial"/>
                <w:sz w:val="24"/>
                <w:szCs w:val="24"/>
              </w:rPr>
            </w:pPr>
            <w:r w:rsidRPr="00C12878">
              <w:rPr>
                <w:rFonts w:ascii="Arial" w:hAnsi="Arial" w:cs="Arial"/>
                <w:sz w:val="24"/>
                <w:szCs w:val="24"/>
              </w:rPr>
              <w:t>There is a contingency for unforeseen items (£1.248m) which has not been called upon.</w:t>
            </w:r>
          </w:p>
          <w:p w14:paraId="50895665" w14:textId="0ADCFC24" w:rsidR="003975E1" w:rsidRPr="00C12878" w:rsidRDefault="003975E1" w:rsidP="00493931">
            <w:pPr>
              <w:pStyle w:val="NoSpacing"/>
              <w:shd w:val="clear" w:color="auto" w:fill="FFFFFF"/>
              <w:rPr>
                <w:rFonts w:ascii="Arial" w:hAnsi="Arial" w:cs="Arial"/>
                <w:sz w:val="24"/>
                <w:szCs w:val="24"/>
              </w:rPr>
            </w:pPr>
          </w:p>
        </w:tc>
        <w:tc>
          <w:tcPr>
            <w:tcW w:w="1701" w:type="dxa"/>
            <w:shd w:val="clear" w:color="auto" w:fill="FFC000"/>
            <w:vAlign w:val="center"/>
          </w:tcPr>
          <w:p w14:paraId="3FC43895" w14:textId="5A59F6DE" w:rsidR="00994E87" w:rsidRPr="000A7631" w:rsidRDefault="00513B81" w:rsidP="00615C75">
            <w:pPr>
              <w:jc w:val="center"/>
            </w:pPr>
            <w:r w:rsidRPr="000A7631">
              <w:rPr>
                <w:b/>
                <w:bCs/>
              </w:rPr>
              <w:t>AMBER</w:t>
            </w:r>
          </w:p>
        </w:tc>
      </w:tr>
    </w:tbl>
    <w:p w14:paraId="0079B697" w14:textId="34A5A634" w:rsidR="00366537" w:rsidRPr="00D666A8" w:rsidRDefault="00366537" w:rsidP="003940E5">
      <w:pPr>
        <w:jc w:val="both"/>
        <w:rPr>
          <w:highlight w:val="yellow"/>
        </w:rPr>
      </w:pPr>
    </w:p>
    <w:p w14:paraId="7376D3F9" w14:textId="77777777" w:rsidR="001F2295" w:rsidRPr="00D666A8" w:rsidRDefault="001F2295" w:rsidP="00846BD6">
      <w:pPr>
        <w:jc w:val="both"/>
        <w:rPr>
          <w:b/>
          <w:color w:val="000000"/>
          <w:highlight w:val="yellow"/>
        </w:rPr>
      </w:pPr>
    </w:p>
    <w:p w14:paraId="30AEE321" w14:textId="51889FB8" w:rsidR="001F2295" w:rsidRPr="00D431FE" w:rsidRDefault="007C565F" w:rsidP="00846BD6">
      <w:pPr>
        <w:pStyle w:val="Heading2"/>
        <w:jc w:val="both"/>
        <w:rPr>
          <w:sz w:val="24"/>
          <w:szCs w:val="24"/>
        </w:rPr>
      </w:pPr>
      <w:r w:rsidRPr="00D431FE">
        <w:rPr>
          <w:sz w:val="24"/>
          <w:szCs w:val="24"/>
        </w:rPr>
        <w:t>5.0</w:t>
      </w:r>
      <w:r w:rsidRPr="00D431FE">
        <w:rPr>
          <w:sz w:val="24"/>
          <w:szCs w:val="24"/>
        </w:rPr>
        <w:tab/>
      </w:r>
      <w:r w:rsidR="0084190E" w:rsidRPr="00D431FE">
        <w:rPr>
          <w:sz w:val="24"/>
          <w:szCs w:val="24"/>
        </w:rPr>
        <w:t>LEGAL IMPLICATIONS</w:t>
      </w:r>
    </w:p>
    <w:p w14:paraId="01642C17" w14:textId="77777777" w:rsidR="006203E7" w:rsidRPr="00D431FE" w:rsidRDefault="006203E7" w:rsidP="006203E7"/>
    <w:p w14:paraId="404C4394" w14:textId="247D7EAA" w:rsidR="004846D1" w:rsidRPr="00D431FE" w:rsidRDefault="007C565F" w:rsidP="00846BD6">
      <w:pPr>
        <w:ind w:left="709" w:hanging="709"/>
        <w:jc w:val="both"/>
      </w:pPr>
      <w:r w:rsidRPr="00D431FE">
        <w:t>5.1</w:t>
      </w:r>
      <w:r w:rsidR="004846D1" w:rsidRPr="00D431FE">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w:t>
      </w:r>
      <w:r w:rsidR="00945ADD" w:rsidRPr="00D431FE">
        <w:t>to</w:t>
      </w:r>
      <w:r w:rsidR="004846D1" w:rsidRPr="00D431FE">
        <w:t xml:space="preserve"> perform its functions, allowances for contingencies in accordance with proper practices, financial reserves and amounts required to be transferred from general fund to collection fund.  </w:t>
      </w:r>
    </w:p>
    <w:p w14:paraId="48C94F65" w14:textId="77777777" w:rsidR="004846D1" w:rsidRPr="00D431FE" w:rsidRDefault="004846D1" w:rsidP="00846BD6">
      <w:pPr>
        <w:jc w:val="both"/>
      </w:pPr>
    </w:p>
    <w:p w14:paraId="6DF7AC3B" w14:textId="57BE1AD8" w:rsidR="004846D1" w:rsidRPr="00D431FE" w:rsidRDefault="007C565F" w:rsidP="00846BD6">
      <w:pPr>
        <w:ind w:left="709" w:hanging="709"/>
        <w:jc w:val="both"/>
      </w:pPr>
      <w:r w:rsidRPr="00D431FE">
        <w:t>5.2</w:t>
      </w:r>
      <w:r w:rsidR="004846D1" w:rsidRPr="00D431FE">
        <w:tab/>
        <w:t xml:space="preserve">Local authorities owe a fiduciary duty to council </w:t>
      </w:r>
      <w:r w:rsidR="00DE5603" w:rsidRPr="00D431FE">
        <w:t>taxpayers</w:t>
      </w:r>
      <w:r w:rsidR="004846D1" w:rsidRPr="00D431FE">
        <w:t xml:space="preserve">, which means </w:t>
      </w:r>
      <w:r w:rsidR="00B81901" w:rsidRPr="00D431FE">
        <w:t>they</w:t>
      </w:r>
      <w:r w:rsidR="004846D1" w:rsidRPr="00D431FE">
        <w:t xml:space="preserve"> must consider the prudent use of resources, including control of expenditure, financial prudence in the short and long term, the need to strike a fair balance between the interests of council </w:t>
      </w:r>
      <w:r w:rsidR="00945ADD" w:rsidRPr="00D431FE">
        <w:t>taxpayers</w:t>
      </w:r>
      <w:r w:rsidR="004846D1" w:rsidRPr="00D431FE">
        <w:t xml:space="preserve"> and ratepayers and the community’s interest in adequate and efficient services and the need to act in good faith in relation to compliance with statutory duties and exercising statutory powers.  </w:t>
      </w:r>
    </w:p>
    <w:p w14:paraId="51974BC5" w14:textId="77777777" w:rsidR="00717CF8" w:rsidRPr="00D431FE" w:rsidRDefault="00717CF8" w:rsidP="00846BD6">
      <w:pPr>
        <w:ind w:left="709" w:hanging="709"/>
        <w:jc w:val="both"/>
      </w:pPr>
    </w:p>
    <w:p w14:paraId="72CDC2A5" w14:textId="600C10B6" w:rsidR="001C7E35" w:rsidRPr="00D431FE" w:rsidRDefault="00960BA8" w:rsidP="00CC250B">
      <w:pPr>
        <w:ind w:left="709" w:hanging="709"/>
        <w:jc w:val="both"/>
      </w:pPr>
      <w:r w:rsidRPr="00D431FE">
        <w:t>5.3</w:t>
      </w:r>
      <w:r w:rsidRPr="00D431FE">
        <w:tab/>
      </w:r>
      <w:r w:rsidR="00602C1C" w:rsidRPr="00D431FE">
        <w:t>Cabinet is</w:t>
      </w:r>
      <w:r w:rsidR="00717CF8" w:rsidRPr="00D431FE">
        <w:t xml:space="preserve"> approving these proposals for consultation after which a cumulative equalities impact will be drafted</w:t>
      </w:r>
      <w:r w:rsidR="00602C1C" w:rsidRPr="00D431FE">
        <w:t>.</w:t>
      </w:r>
      <w:r w:rsidR="00717CF8" w:rsidRPr="00D431FE">
        <w:t xml:space="preserve">  These proposals will be referred to Council so that Council can approve the budget envelope and set the Council Tax.  There will be contingencies within the budget envelope so that </w:t>
      </w:r>
      <w:r w:rsidR="00717CF8" w:rsidRPr="00D431FE">
        <w:lastRenderedPageBreak/>
        <w:t>decision makers have some flexibility should any decisions have detrimental equalities impacts that cannot be mitigated.</w:t>
      </w:r>
    </w:p>
    <w:p w14:paraId="49EA01CA" w14:textId="31537CE6" w:rsidR="00A443C7" w:rsidRPr="00D431FE" w:rsidRDefault="00A443C7" w:rsidP="00CC250B">
      <w:pPr>
        <w:ind w:left="709" w:hanging="709"/>
        <w:jc w:val="both"/>
      </w:pPr>
    </w:p>
    <w:p w14:paraId="5F17E3A4" w14:textId="19FD8A85" w:rsidR="00A443C7" w:rsidRPr="00D431FE" w:rsidRDefault="00A443C7" w:rsidP="00537209">
      <w:pPr>
        <w:pStyle w:val="Sub2Textlist"/>
        <w:ind w:left="709" w:firstLine="0"/>
        <w:jc w:val="both"/>
      </w:pPr>
      <w:r w:rsidRPr="00D431FE">
        <w:t xml:space="preserve">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w:t>
      </w:r>
      <w:r w:rsidR="00DE5603" w:rsidRPr="00D431FE">
        <w:t>Section 111 of the Local Government Act 1972</w:t>
      </w:r>
      <w:r w:rsidRPr="00D431FE">
        <w:t xml:space="preserve"> relates to the subsidiary powers of local authorities.</w:t>
      </w:r>
    </w:p>
    <w:p w14:paraId="328502B0" w14:textId="69E2E659" w:rsidR="00A443C7" w:rsidRPr="00D431FE" w:rsidRDefault="00A443C7" w:rsidP="006203E7">
      <w:pPr>
        <w:pStyle w:val="Sub2Textlist"/>
        <w:ind w:left="709" w:firstLine="0"/>
        <w:jc w:val="both"/>
      </w:pPr>
      <w:r w:rsidRPr="00D431FE">
        <w:t>Under Section 114 of the Local Government Finance Act 1988, the chief finance officer (S151 Officer) of a relevant authority shall make a report under this section if it appears to them that the expenditure of the authority incurred (including expenditure it proposes to incur) in a financial year is likely to exceed the resources (including sums borrowed) available to it to meet that expenditure.</w:t>
      </w:r>
    </w:p>
    <w:p w14:paraId="5C18D687" w14:textId="77777777" w:rsidR="001F2295" w:rsidRPr="00D666A8" w:rsidRDefault="001F2295" w:rsidP="00846BD6">
      <w:pPr>
        <w:jc w:val="both"/>
        <w:rPr>
          <w:highlight w:val="yellow"/>
        </w:rPr>
      </w:pPr>
    </w:p>
    <w:p w14:paraId="3FEAE397" w14:textId="77777777" w:rsidR="00333FAA" w:rsidRPr="00D431FE" w:rsidRDefault="007C565F" w:rsidP="00846BD6">
      <w:pPr>
        <w:pStyle w:val="Heading2"/>
        <w:jc w:val="both"/>
        <w:rPr>
          <w:sz w:val="24"/>
          <w:szCs w:val="24"/>
        </w:rPr>
      </w:pPr>
      <w:r w:rsidRPr="00D431FE">
        <w:rPr>
          <w:sz w:val="24"/>
          <w:szCs w:val="24"/>
        </w:rPr>
        <w:t>6.0</w:t>
      </w:r>
      <w:r w:rsidRPr="00D431FE">
        <w:rPr>
          <w:sz w:val="24"/>
          <w:szCs w:val="24"/>
        </w:rPr>
        <w:tab/>
      </w:r>
      <w:r w:rsidR="0084190E" w:rsidRPr="00D431FE">
        <w:rPr>
          <w:sz w:val="24"/>
          <w:szCs w:val="24"/>
        </w:rPr>
        <w:t>FINANCIAL IMPLICATIONS</w:t>
      </w:r>
      <w:r w:rsidR="00F87325" w:rsidRPr="00D431FE">
        <w:rPr>
          <w:sz w:val="24"/>
          <w:szCs w:val="24"/>
        </w:rPr>
        <w:t xml:space="preserve"> </w:t>
      </w:r>
    </w:p>
    <w:p w14:paraId="3129FCEF" w14:textId="77777777" w:rsidR="001F2295" w:rsidRPr="00D431FE" w:rsidRDefault="001F2295" w:rsidP="00846BD6">
      <w:pPr>
        <w:jc w:val="both"/>
      </w:pPr>
    </w:p>
    <w:p w14:paraId="32D937F0" w14:textId="77777777" w:rsidR="0054590F" w:rsidRPr="00D431FE" w:rsidRDefault="007C565F" w:rsidP="00846BD6">
      <w:pPr>
        <w:jc w:val="both"/>
      </w:pPr>
      <w:r w:rsidRPr="00D431FE">
        <w:t>6.1</w:t>
      </w:r>
      <w:r w:rsidR="001426F3" w:rsidRPr="00D431FE">
        <w:tab/>
      </w:r>
      <w:r w:rsidR="0084190E" w:rsidRPr="00D431FE">
        <w:t>Financial Implications are integral to this report.</w:t>
      </w:r>
    </w:p>
    <w:p w14:paraId="5243C73B" w14:textId="77777777" w:rsidR="00953C00" w:rsidRPr="00D431FE" w:rsidRDefault="00953C00" w:rsidP="00846BD6">
      <w:pPr>
        <w:jc w:val="both"/>
      </w:pPr>
    </w:p>
    <w:p w14:paraId="0D3F027F" w14:textId="77777777" w:rsidR="003D629F" w:rsidRPr="00D431FE" w:rsidRDefault="003D629F" w:rsidP="00846BD6">
      <w:pPr>
        <w:jc w:val="both"/>
      </w:pPr>
    </w:p>
    <w:p w14:paraId="454F705E" w14:textId="77777777" w:rsidR="003D629F" w:rsidRPr="00D431FE" w:rsidRDefault="003D629F" w:rsidP="00846BD6">
      <w:pPr>
        <w:jc w:val="both"/>
        <w:rPr>
          <w:b/>
        </w:rPr>
      </w:pPr>
      <w:r w:rsidRPr="00D431FE">
        <w:rPr>
          <w:b/>
        </w:rPr>
        <w:t>7.0</w:t>
      </w:r>
      <w:r w:rsidRPr="00D431FE">
        <w:rPr>
          <w:b/>
        </w:rPr>
        <w:tab/>
        <w:t>PROCUREMENT IMPLICATIONS</w:t>
      </w:r>
    </w:p>
    <w:p w14:paraId="1396A2C3" w14:textId="77777777" w:rsidR="001F2295" w:rsidRPr="00D431FE" w:rsidRDefault="001F2295" w:rsidP="00846BD6">
      <w:pPr>
        <w:jc w:val="both"/>
        <w:rPr>
          <w:b/>
        </w:rPr>
      </w:pPr>
    </w:p>
    <w:p w14:paraId="14EED9CD" w14:textId="77777777" w:rsidR="003D629F" w:rsidRPr="00D431FE" w:rsidRDefault="00EB1413" w:rsidP="00846BD6">
      <w:pPr>
        <w:jc w:val="both"/>
      </w:pPr>
      <w:r w:rsidRPr="00D431FE">
        <w:t>7.1</w:t>
      </w:r>
      <w:r w:rsidR="003D629F" w:rsidRPr="00D431FE">
        <w:tab/>
        <w:t xml:space="preserve">There </w:t>
      </w:r>
      <w:r w:rsidRPr="00D431FE">
        <w:t>are no procurement implications arising from this report.</w:t>
      </w:r>
    </w:p>
    <w:p w14:paraId="2A264179" w14:textId="77777777" w:rsidR="00953C00" w:rsidRPr="00D431FE" w:rsidRDefault="00953C00" w:rsidP="00846BD6">
      <w:pPr>
        <w:jc w:val="both"/>
      </w:pPr>
    </w:p>
    <w:p w14:paraId="18AA9B0C" w14:textId="77777777" w:rsidR="00150383" w:rsidRPr="00D431FE" w:rsidRDefault="00150383" w:rsidP="00846BD6">
      <w:pPr>
        <w:jc w:val="both"/>
      </w:pPr>
    </w:p>
    <w:p w14:paraId="640AD7E6" w14:textId="7356FDE4" w:rsidR="00391C2A" w:rsidRPr="00D431FE" w:rsidRDefault="00EB1413" w:rsidP="00846BD6">
      <w:pPr>
        <w:pStyle w:val="Heading2"/>
        <w:keepNext/>
        <w:ind w:left="720" w:hanging="720"/>
        <w:jc w:val="both"/>
        <w:rPr>
          <w:sz w:val="24"/>
          <w:szCs w:val="24"/>
        </w:rPr>
      </w:pPr>
      <w:r w:rsidRPr="00D431FE">
        <w:rPr>
          <w:sz w:val="24"/>
          <w:szCs w:val="24"/>
        </w:rPr>
        <w:t>8</w:t>
      </w:r>
      <w:r w:rsidR="007C565F" w:rsidRPr="00D431FE">
        <w:rPr>
          <w:sz w:val="24"/>
          <w:szCs w:val="24"/>
        </w:rPr>
        <w:t>.0</w:t>
      </w:r>
      <w:r w:rsidR="007C565F" w:rsidRPr="00D431FE">
        <w:rPr>
          <w:sz w:val="24"/>
          <w:szCs w:val="24"/>
        </w:rPr>
        <w:tab/>
      </w:r>
      <w:r w:rsidR="00333FAA" w:rsidRPr="00D431FE">
        <w:rPr>
          <w:sz w:val="24"/>
          <w:szCs w:val="24"/>
        </w:rPr>
        <w:t>E</w:t>
      </w:r>
      <w:r w:rsidR="000100F5" w:rsidRPr="00D431FE">
        <w:rPr>
          <w:sz w:val="24"/>
          <w:szCs w:val="24"/>
        </w:rPr>
        <w:t>QUALITIES IMPLICATIONS / PUBLIC SECTOR EQUALITY DUTY</w:t>
      </w:r>
    </w:p>
    <w:p w14:paraId="0F0989C5" w14:textId="77777777" w:rsidR="006C5F36" w:rsidRPr="00D431FE" w:rsidRDefault="006C5F36" w:rsidP="00846BD6">
      <w:pPr>
        <w:jc w:val="both"/>
      </w:pPr>
    </w:p>
    <w:p w14:paraId="7BF6FDAA" w14:textId="013A980C" w:rsidR="004846D1" w:rsidRPr="00D431FE" w:rsidRDefault="00EB1413" w:rsidP="005E22B5">
      <w:pPr>
        <w:suppressAutoHyphens/>
        <w:ind w:left="709" w:hanging="709"/>
        <w:jc w:val="both"/>
        <w:rPr>
          <w:rFonts w:cs="Arial"/>
          <w:lang w:eastAsia="ar-SA"/>
        </w:rPr>
      </w:pPr>
      <w:r w:rsidRPr="00D431FE">
        <w:rPr>
          <w:rFonts w:cs="Arial"/>
          <w:lang w:eastAsia="ar-SA"/>
        </w:rPr>
        <w:t>8</w:t>
      </w:r>
      <w:r w:rsidR="007C565F" w:rsidRPr="00D431FE">
        <w:rPr>
          <w:rFonts w:cs="Arial"/>
          <w:lang w:eastAsia="ar-SA"/>
        </w:rPr>
        <w:t>.1</w:t>
      </w:r>
      <w:r w:rsidR="004846D1" w:rsidRPr="00D431FE">
        <w:rPr>
          <w:rFonts w:cs="Arial"/>
          <w:lang w:eastAsia="ar-SA"/>
        </w:rPr>
        <w:tab/>
        <w:t>Decision makers should have due regard to the public sector equality duty in making their decisions. The equalities duties are continuing duties</w:t>
      </w:r>
      <w:r w:rsidR="00D5514B">
        <w:rPr>
          <w:rFonts w:cs="Arial"/>
          <w:lang w:eastAsia="ar-SA"/>
        </w:rPr>
        <w:t>,</w:t>
      </w:r>
      <w:r w:rsidR="004846D1" w:rsidRPr="00D431FE">
        <w:rPr>
          <w:rFonts w:cs="Arial"/>
          <w:lang w:eastAsia="ar-SA"/>
        </w:rPr>
        <w:t xml:space="preserve">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D431FE" w:rsidRDefault="004846D1" w:rsidP="004846D1">
      <w:pPr>
        <w:suppressAutoHyphens/>
        <w:ind w:left="851" w:hanging="851"/>
        <w:jc w:val="both"/>
        <w:rPr>
          <w:rFonts w:cs="Arial"/>
          <w:i/>
          <w:iCs/>
          <w:szCs w:val="24"/>
          <w:lang w:eastAsia="ar-SA"/>
        </w:rPr>
      </w:pPr>
    </w:p>
    <w:p w14:paraId="1E251122" w14:textId="21864393" w:rsidR="004846D1" w:rsidRPr="00D431FE" w:rsidRDefault="004846D1" w:rsidP="00D26564">
      <w:pPr>
        <w:suppressAutoHyphens/>
        <w:ind w:left="851"/>
        <w:jc w:val="both"/>
        <w:rPr>
          <w:rFonts w:cs="Arial"/>
          <w:i/>
          <w:iCs/>
          <w:szCs w:val="24"/>
          <w:lang w:eastAsia="ar-SA"/>
        </w:rPr>
      </w:pPr>
      <w:r w:rsidRPr="00D431FE">
        <w:rPr>
          <w:rFonts w:cs="Arial"/>
          <w:i/>
          <w:iCs/>
          <w:szCs w:val="24"/>
          <w:lang w:eastAsia="ar-SA"/>
        </w:rPr>
        <w:t>A public authority must, in the exercise of its functions, have due regard to the need to:</w:t>
      </w:r>
    </w:p>
    <w:p w14:paraId="36DB2C8E" w14:textId="77777777" w:rsidR="00342986" w:rsidRPr="00D431FE" w:rsidRDefault="00342986" w:rsidP="00D26564">
      <w:pPr>
        <w:suppressAutoHyphens/>
        <w:ind w:left="851"/>
        <w:jc w:val="both"/>
        <w:rPr>
          <w:rFonts w:cs="Arial"/>
          <w:i/>
          <w:iCs/>
          <w:szCs w:val="24"/>
          <w:lang w:eastAsia="ar-SA"/>
        </w:rPr>
      </w:pPr>
    </w:p>
    <w:p w14:paraId="0F0F18AD" w14:textId="622F95E6" w:rsidR="004846D1" w:rsidRPr="00D431FE" w:rsidRDefault="004846D1" w:rsidP="0004472F">
      <w:pPr>
        <w:pStyle w:val="ListParagraph"/>
        <w:numPr>
          <w:ilvl w:val="1"/>
          <w:numId w:val="2"/>
        </w:numPr>
        <w:suppressAutoHyphens/>
        <w:jc w:val="both"/>
        <w:rPr>
          <w:rFonts w:cs="Arial"/>
          <w:i/>
          <w:iCs/>
          <w:szCs w:val="24"/>
          <w:lang w:eastAsia="ar-SA"/>
        </w:rPr>
      </w:pPr>
      <w:r w:rsidRPr="00D431FE">
        <w:rPr>
          <w:rFonts w:cs="Arial"/>
          <w:i/>
          <w:iCs/>
          <w:szCs w:val="24"/>
          <w:lang w:eastAsia="ar-SA"/>
        </w:rPr>
        <w:t xml:space="preserve">eliminate discrimination, harassment, </w:t>
      </w:r>
      <w:r w:rsidR="00945ADD" w:rsidRPr="00D431FE">
        <w:rPr>
          <w:rFonts w:cs="Arial"/>
          <w:i/>
          <w:iCs/>
          <w:szCs w:val="24"/>
          <w:lang w:eastAsia="ar-SA"/>
        </w:rPr>
        <w:t>victimisation,</w:t>
      </w:r>
      <w:r w:rsidRPr="00D431FE">
        <w:rPr>
          <w:rFonts w:cs="Arial"/>
          <w:i/>
          <w:iCs/>
          <w:szCs w:val="24"/>
          <w:lang w:eastAsia="ar-SA"/>
        </w:rPr>
        <w:t xml:space="preserve"> and any other conduct that is prohibited by or under this Act;</w:t>
      </w:r>
    </w:p>
    <w:p w14:paraId="513257B9" w14:textId="3B79350E" w:rsidR="004846D1" w:rsidRPr="00D431FE" w:rsidRDefault="004846D1" w:rsidP="0004472F">
      <w:pPr>
        <w:pStyle w:val="ListParagraph"/>
        <w:numPr>
          <w:ilvl w:val="1"/>
          <w:numId w:val="2"/>
        </w:numPr>
        <w:suppressAutoHyphens/>
        <w:jc w:val="both"/>
        <w:rPr>
          <w:rFonts w:cs="Arial"/>
          <w:i/>
          <w:iCs/>
          <w:szCs w:val="24"/>
          <w:lang w:eastAsia="ar-SA"/>
        </w:rPr>
      </w:pPr>
      <w:r w:rsidRPr="00D431FE">
        <w:rPr>
          <w:rFonts w:cs="Arial"/>
          <w:i/>
          <w:iCs/>
          <w:szCs w:val="24"/>
          <w:lang w:eastAsia="ar-SA"/>
        </w:rPr>
        <w:t>advance equality of opportunity between persons who share a relevant protected characteristic and persons who do not share it;</w:t>
      </w:r>
    </w:p>
    <w:p w14:paraId="135C3ADD" w14:textId="2421D856" w:rsidR="004846D1" w:rsidRPr="00D431FE" w:rsidRDefault="00602C1C" w:rsidP="00BA54EA">
      <w:pPr>
        <w:pStyle w:val="ListParagraph"/>
        <w:numPr>
          <w:ilvl w:val="1"/>
          <w:numId w:val="2"/>
        </w:numPr>
        <w:suppressAutoHyphens/>
        <w:jc w:val="both"/>
        <w:rPr>
          <w:rFonts w:cs="Arial"/>
          <w:i/>
          <w:iCs/>
          <w:szCs w:val="24"/>
          <w:lang w:eastAsia="ar-SA"/>
        </w:rPr>
      </w:pPr>
      <w:r w:rsidRPr="00D431FE">
        <w:rPr>
          <w:rFonts w:cs="Arial"/>
          <w:i/>
          <w:iCs/>
          <w:szCs w:val="24"/>
          <w:lang w:eastAsia="ar-SA"/>
        </w:rPr>
        <w:t>Foster</w:t>
      </w:r>
      <w:r w:rsidR="004846D1" w:rsidRPr="00D431FE">
        <w:rPr>
          <w:rFonts w:cs="Arial"/>
          <w:i/>
          <w:iCs/>
          <w:szCs w:val="24"/>
          <w:lang w:eastAsia="ar-SA"/>
        </w:rPr>
        <w:t xml:space="preserve"> good relations between persons who share a relevant protected characteristic and persons who do not share it.</w:t>
      </w:r>
    </w:p>
    <w:p w14:paraId="544ADDEA" w14:textId="6841753C" w:rsidR="004846D1" w:rsidRPr="00D431FE" w:rsidRDefault="004846D1" w:rsidP="00BA54EA">
      <w:pPr>
        <w:suppressAutoHyphens/>
        <w:ind w:left="1440"/>
        <w:jc w:val="both"/>
        <w:rPr>
          <w:rFonts w:cs="Arial"/>
          <w:i/>
          <w:iCs/>
          <w:szCs w:val="24"/>
          <w:lang w:eastAsia="ar-SA"/>
        </w:rPr>
      </w:pPr>
      <w:r w:rsidRPr="00D431FE">
        <w:rPr>
          <w:rFonts w:cs="Arial"/>
          <w:i/>
          <w:iCs/>
          <w:szCs w:val="24"/>
          <w:lang w:eastAsia="ar-SA"/>
        </w:rPr>
        <w:t>Having due regard to the need to advance equality of opportunity between persons who share a relevant protected characteristic and persons who do not share it involves having due regard</w:t>
      </w:r>
      <w:r w:rsidR="00945ADD" w:rsidRPr="00D431FE">
        <w:rPr>
          <w:rFonts w:cs="Arial"/>
          <w:i/>
          <w:iCs/>
          <w:szCs w:val="24"/>
          <w:lang w:eastAsia="ar-SA"/>
        </w:rPr>
        <w:t xml:space="preserve"> to</w:t>
      </w:r>
      <w:r w:rsidRPr="00D431FE">
        <w:rPr>
          <w:rFonts w:cs="Arial"/>
          <w:i/>
          <w:iCs/>
          <w:szCs w:val="24"/>
          <w:lang w:eastAsia="ar-SA"/>
        </w:rPr>
        <w:t xml:space="preserve"> the need to:</w:t>
      </w:r>
    </w:p>
    <w:p w14:paraId="62DA99AF" w14:textId="77777777" w:rsidR="00114C15" w:rsidRPr="00D431FE" w:rsidRDefault="00114C15" w:rsidP="00114C15">
      <w:pPr>
        <w:tabs>
          <w:tab w:val="left" w:pos="1440"/>
          <w:tab w:val="left" w:pos="1496"/>
        </w:tabs>
        <w:suppressAutoHyphens/>
        <w:jc w:val="both"/>
        <w:rPr>
          <w:rFonts w:cs="Arial"/>
          <w:i/>
          <w:iCs/>
          <w:szCs w:val="24"/>
          <w:lang w:eastAsia="ar-SA"/>
        </w:rPr>
      </w:pPr>
    </w:p>
    <w:p w14:paraId="57304B99" w14:textId="0BC53304" w:rsidR="004846D1" w:rsidRPr="00D431FE"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remove or minimise disadvantages suffered by persons who share a relevant protected characteristic that are connected to that characteristic;</w:t>
      </w:r>
    </w:p>
    <w:p w14:paraId="72D11481" w14:textId="64F58DB1" w:rsidR="004846D1" w:rsidRPr="00D431FE" w:rsidRDefault="004846D1" w:rsidP="00BA54EA">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take steps to meet the needs of persons who share a relevant protected characteristic that are different from the needs of persons who do not share it;</w:t>
      </w:r>
    </w:p>
    <w:p w14:paraId="5A0C9697" w14:textId="718CEE2A" w:rsidR="004846D1" w:rsidRPr="00D431FE" w:rsidRDefault="00602C1C" w:rsidP="009F44EB">
      <w:pPr>
        <w:pStyle w:val="ListParagraph"/>
        <w:numPr>
          <w:ilvl w:val="1"/>
          <w:numId w:val="2"/>
        </w:numPr>
        <w:tabs>
          <w:tab w:val="left" w:pos="1440"/>
          <w:tab w:val="left" w:pos="1496"/>
        </w:tabs>
        <w:suppressAutoHyphens/>
        <w:jc w:val="both"/>
        <w:rPr>
          <w:rFonts w:cs="Arial"/>
          <w:i/>
          <w:iCs/>
          <w:szCs w:val="24"/>
          <w:lang w:eastAsia="ar-SA"/>
        </w:rPr>
      </w:pPr>
      <w:r w:rsidRPr="00D431FE">
        <w:rPr>
          <w:rFonts w:cs="Arial"/>
          <w:i/>
          <w:iCs/>
          <w:szCs w:val="24"/>
          <w:lang w:eastAsia="ar-SA"/>
        </w:rPr>
        <w:t>Encourage</w:t>
      </w:r>
      <w:r w:rsidR="004846D1" w:rsidRPr="00D431FE">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691D831C" w:rsidR="004846D1" w:rsidRPr="00D431FE" w:rsidRDefault="004846D1" w:rsidP="009F44EB">
      <w:pPr>
        <w:tabs>
          <w:tab w:val="num" w:pos="851"/>
        </w:tabs>
        <w:suppressAutoHyphens/>
        <w:ind w:left="1440"/>
        <w:jc w:val="both"/>
        <w:rPr>
          <w:rFonts w:cs="Arial"/>
          <w:i/>
          <w:iCs/>
          <w:szCs w:val="24"/>
          <w:lang w:eastAsia="ar-SA"/>
        </w:rPr>
      </w:pPr>
      <w:r w:rsidRPr="00D431FE">
        <w:rPr>
          <w:rFonts w:cs="Arial"/>
          <w:i/>
          <w:iCs/>
          <w:szCs w:val="24"/>
          <w:lang w:eastAsia="ar-SA"/>
        </w:rPr>
        <w:t>The steps involved in meeting the needs of disabled persons that are different from the needs of persons who are not disabled include</w:t>
      </w:r>
      <w:r w:rsidR="00B64BAE" w:rsidRPr="00D431FE">
        <w:rPr>
          <w:rFonts w:cs="Arial"/>
          <w:i/>
          <w:iCs/>
          <w:szCs w:val="24"/>
          <w:lang w:eastAsia="ar-SA"/>
        </w:rPr>
        <w:t xml:space="preserve"> steps</w:t>
      </w:r>
      <w:r w:rsidRPr="00D431FE">
        <w:rPr>
          <w:rFonts w:cs="Arial"/>
          <w:i/>
          <w:iCs/>
          <w:szCs w:val="24"/>
          <w:lang w:eastAsia="ar-SA"/>
        </w:rPr>
        <w:t xml:space="preserve"> to take account of disabled persons’ disabilities.</w:t>
      </w:r>
    </w:p>
    <w:p w14:paraId="17F2D45F" w14:textId="77777777" w:rsidR="00B7437D" w:rsidRPr="00D431FE" w:rsidRDefault="00B7437D" w:rsidP="00D26564">
      <w:pPr>
        <w:tabs>
          <w:tab w:val="num" w:pos="851"/>
        </w:tabs>
        <w:suppressAutoHyphens/>
        <w:ind w:left="851"/>
        <w:jc w:val="both"/>
        <w:rPr>
          <w:rFonts w:cs="Arial"/>
          <w:lang w:eastAsia="ar-SA"/>
        </w:rPr>
      </w:pPr>
    </w:p>
    <w:p w14:paraId="285B6193" w14:textId="5E6158A6" w:rsidR="004846D1" w:rsidRPr="00D431FE" w:rsidRDefault="004846D1" w:rsidP="00D26564">
      <w:pPr>
        <w:suppressAutoHyphens/>
        <w:ind w:left="851"/>
        <w:jc w:val="both"/>
        <w:rPr>
          <w:rFonts w:cs="Arial"/>
          <w:lang w:eastAsia="ar-SA"/>
        </w:rPr>
      </w:pPr>
      <w:r w:rsidRPr="00D431FE">
        <w:rPr>
          <w:rFonts w:cs="Arial"/>
          <w:lang w:eastAsia="ar-SA"/>
        </w:rPr>
        <w:t>Having due regard to the need to foster good relations between persons who share a relevant protected characteristic and persons who do not share it involves having due regard</w:t>
      </w:r>
      <w:r w:rsidR="003872A6" w:rsidRPr="00D431FE">
        <w:rPr>
          <w:rFonts w:cs="Arial"/>
          <w:lang w:eastAsia="ar-SA"/>
        </w:rPr>
        <w:t xml:space="preserve">; </w:t>
      </w:r>
      <w:r w:rsidRPr="00D431FE">
        <w:rPr>
          <w:rFonts w:cs="Arial"/>
          <w:lang w:eastAsia="ar-SA"/>
        </w:rPr>
        <w:t>in particular, to the need to:</w:t>
      </w:r>
    </w:p>
    <w:p w14:paraId="54BAFE05" w14:textId="77777777" w:rsidR="006C5F36" w:rsidRPr="00D431FE" w:rsidRDefault="006C5F36" w:rsidP="00D26564">
      <w:pPr>
        <w:suppressAutoHyphens/>
        <w:ind w:left="851"/>
        <w:jc w:val="both"/>
        <w:rPr>
          <w:rFonts w:cs="Arial"/>
          <w:i/>
          <w:iCs/>
          <w:szCs w:val="24"/>
          <w:lang w:eastAsia="ar-SA"/>
        </w:rPr>
      </w:pPr>
    </w:p>
    <w:p w14:paraId="24AFF9CF" w14:textId="77777777" w:rsidR="004846D1" w:rsidRPr="00D431FE" w:rsidRDefault="004846D1" w:rsidP="008E4657">
      <w:pPr>
        <w:numPr>
          <w:ilvl w:val="0"/>
          <w:numId w:val="3"/>
        </w:numPr>
        <w:tabs>
          <w:tab w:val="clear" w:pos="1080"/>
          <w:tab w:val="num" w:pos="851"/>
          <w:tab w:val="left" w:pos="1800"/>
        </w:tabs>
        <w:suppressAutoHyphens/>
        <w:ind w:left="851" w:hanging="851"/>
        <w:jc w:val="both"/>
        <w:rPr>
          <w:rFonts w:cs="Arial"/>
          <w:i/>
          <w:iCs/>
          <w:szCs w:val="24"/>
          <w:lang w:eastAsia="ar-SA"/>
        </w:rPr>
      </w:pPr>
      <w:r w:rsidRPr="00D431FE">
        <w:rPr>
          <w:rFonts w:cs="Arial"/>
          <w:i/>
          <w:iCs/>
          <w:szCs w:val="24"/>
          <w:lang w:eastAsia="ar-SA"/>
        </w:rPr>
        <w:t>Tackle prejudice, and</w:t>
      </w:r>
    </w:p>
    <w:p w14:paraId="0E0F3492" w14:textId="77777777" w:rsidR="004846D1" w:rsidRPr="00D431FE" w:rsidRDefault="004846D1" w:rsidP="008E4657">
      <w:pPr>
        <w:numPr>
          <w:ilvl w:val="0"/>
          <w:numId w:val="3"/>
        </w:numPr>
        <w:tabs>
          <w:tab w:val="clear" w:pos="1080"/>
          <w:tab w:val="left" w:pos="851"/>
        </w:tabs>
        <w:suppressAutoHyphens/>
        <w:ind w:left="851" w:hanging="851"/>
        <w:jc w:val="both"/>
        <w:rPr>
          <w:rFonts w:cs="Arial"/>
          <w:i/>
          <w:iCs/>
          <w:szCs w:val="24"/>
          <w:lang w:eastAsia="ar-SA"/>
        </w:rPr>
      </w:pPr>
      <w:r w:rsidRPr="00D431FE">
        <w:rPr>
          <w:rFonts w:cs="Arial"/>
          <w:i/>
          <w:iCs/>
          <w:szCs w:val="24"/>
          <w:lang w:eastAsia="ar-SA"/>
        </w:rPr>
        <w:t>Promote understanding.</w:t>
      </w:r>
    </w:p>
    <w:p w14:paraId="78608B9E" w14:textId="77777777" w:rsidR="00716EAF" w:rsidRPr="00D431FE" w:rsidRDefault="004846D1" w:rsidP="00D26564">
      <w:pPr>
        <w:suppressAutoHyphens/>
        <w:ind w:left="851"/>
        <w:jc w:val="both"/>
        <w:rPr>
          <w:rFonts w:cs="Arial"/>
          <w:i/>
          <w:iCs/>
          <w:szCs w:val="24"/>
          <w:lang w:eastAsia="ar-SA"/>
        </w:rPr>
      </w:pPr>
      <w:r w:rsidRPr="00D431FE">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sidRPr="00D431FE">
        <w:rPr>
          <w:rFonts w:cs="Arial"/>
          <w:i/>
          <w:iCs/>
          <w:szCs w:val="24"/>
          <w:lang w:eastAsia="ar-SA"/>
        </w:rPr>
        <w:t xml:space="preserve"> this Act. </w:t>
      </w:r>
    </w:p>
    <w:p w14:paraId="2AD930A6" w14:textId="77777777" w:rsidR="00716EAF" w:rsidRPr="00D431FE" w:rsidRDefault="00716EAF" w:rsidP="00D26564">
      <w:pPr>
        <w:suppressAutoHyphens/>
        <w:ind w:left="851"/>
        <w:jc w:val="both"/>
        <w:rPr>
          <w:rFonts w:cs="Arial"/>
          <w:i/>
          <w:iCs/>
          <w:szCs w:val="24"/>
          <w:lang w:eastAsia="ar-SA"/>
        </w:rPr>
      </w:pPr>
    </w:p>
    <w:p w14:paraId="692C1AB5" w14:textId="77777777" w:rsidR="004846D1" w:rsidRPr="00D431FE" w:rsidRDefault="004846D1" w:rsidP="00D26564">
      <w:pPr>
        <w:suppressAutoHyphens/>
        <w:ind w:left="851"/>
        <w:jc w:val="both"/>
        <w:rPr>
          <w:rFonts w:cs="Arial"/>
          <w:i/>
          <w:iCs/>
          <w:szCs w:val="24"/>
          <w:lang w:eastAsia="ar-SA"/>
        </w:rPr>
      </w:pPr>
      <w:r w:rsidRPr="00D431FE">
        <w:rPr>
          <w:rFonts w:cs="Arial"/>
          <w:i/>
          <w:iCs/>
          <w:szCs w:val="24"/>
          <w:lang w:eastAsia="ar-SA"/>
        </w:rPr>
        <w:t>The relevant protected characteristics are:</w:t>
      </w:r>
    </w:p>
    <w:p w14:paraId="5C0979C1" w14:textId="77777777" w:rsidR="004846D1" w:rsidRPr="00D431FE" w:rsidRDefault="004846D1" w:rsidP="008E4657">
      <w:pPr>
        <w:numPr>
          <w:ilvl w:val="0"/>
          <w:numId w:val="1"/>
        </w:numPr>
        <w:tabs>
          <w:tab w:val="num" w:pos="1418"/>
        </w:tabs>
        <w:suppressAutoHyphens/>
        <w:ind w:left="1418" w:hanging="284"/>
        <w:jc w:val="both"/>
        <w:rPr>
          <w:rFonts w:cs="Arial"/>
          <w:i/>
          <w:iCs/>
          <w:szCs w:val="24"/>
          <w:lang w:eastAsia="ar-SA"/>
        </w:rPr>
      </w:pPr>
      <w:r w:rsidRPr="00D431FE">
        <w:rPr>
          <w:rFonts w:cs="Arial"/>
          <w:i/>
          <w:iCs/>
          <w:szCs w:val="24"/>
          <w:lang w:eastAsia="ar-SA"/>
        </w:rPr>
        <w:t>Age</w:t>
      </w:r>
    </w:p>
    <w:p w14:paraId="7290BF72"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Disability</w:t>
      </w:r>
    </w:p>
    <w:p w14:paraId="360D6C8E"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Gender reassignment</w:t>
      </w:r>
    </w:p>
    <w:p w14:paraId="3C0A4C0B"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Pregnancy and maternity</w:t>
      </w:r>
    </w:p>
    <w:p w14:paraId="72140E45" w14:textId="77777777" w:rsidR="004846D1" w:rsidRPr="00D431FE" w:rsidRDefault="00716EAF"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Race</w:t>
      </w:r>
    </w:p>
    <w:p w14:paraId="067469D3" w14:textId="77777777" w:rsidR="004846D1" w:rsidRPr="00D431FE" w:rsidRDefault="004846D1" w:rsidP="008E4657">
      <w:pPr>
        <w:numPr>
          <w:ilvl w:val="0"/>
          <w:numId w:val="1"/>
        </w:numPr>
        <w:suppressAutoHyphens/>
        <w:ind w:left="1418" w:hanging="284"/>
        <w:jc w:val="both"/>
        <w:rPr>
          <w:rFonts w:cs="Arial"/>
          <w:i/>
          <w:iCs/>
          <w:szCs w:val="24"/>
          <w:lang w:eastAsia="ar-SA"/>
        </w:rPr>
      </w:pPr>
      <w:r w:rsidRPr="00D431FE">
        <w:rPr>
          <w:rFonts w:cs="Arial"/>
          <w:i/>
          <w:iCs/>
          <w:szCs w:val="24"/>
          <w:lang w:eastAsia="ar-SA"/>
        </w:rPr>
        <w:t>Religion or belief</w:t>
      </w:r>
    </w:p>
    <w:p w14:paraId="3B0C87C3"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Sex</w:t>
      </w:r>
    </w:p>
    <w:p w14:paraId="6AC121F3" w14:textId="77777777" w:rsidR="004846D1" w:rsidRPr="00D431FE" w:rsidRDefault="004846D1" w:rsidP="008E4657">
      <w:pPr>
        <w:numPr>
          <w:ilvl w:val="0"/>
          <w:numId w:val="1"/>
        </w:numPr>
        <w:tabs>
          <w:tab w:val="num" w:pos="1418"/>
        </w:tabs>
        <w:suppressAutoHyphens/>
        <w:ind w:left="851" w:firstLine="283"/>
        <w:jc w:val="both"/>
        <w:rPr>
          <w:rFonts w:cs="Arial"/>
          <w:i/>
          <w:iCs/>
          <w:szCs w:val="24"/>
          <w:lang w:eastAsia="ar-SA"/>
        </w:rPr>
      </w:pPr>
      <w:r w:rsidRPr="00D431FE">
        <w:rPr>
          <w:rFonts w:cs="Arial"/>
          <w:i/>
          <w:iCs/>
          <w:szCs w:val="24"/>
          <w:lang w:eastAsia="ar-SA"/>
        </w:rPr>
        <w:t>Sexual orientation</w:t>
      </w:r>
    </w:p>
    <w:p w14:paraId="0E404684" w14:textId="77777777" w:rsidR="004846D1" w:rsidRPr="00D431FE" w:rsidRDefault="004846D1" w:rsidP="008E4657">
      <w:pPr>
        <w:numPr>
          <w:ilvl w:val="0"/>
          <w:numId w:val="1"/>
        </w:numPr>
        <w:tabs>
          <w:tab w:val="num" w:pos="1418"/>
        </w:tabs>
        <w:suppressAutoHyphens/>
        <w:ind w:left="851" w:firstLine="283"/>
        <w:jc w:val="both"/>
        <w:rPr>
          <w:rFonts w:cs="Arial"/>
          <w:lang w:eastAsia="ar-SA"/>
        </w:rPr>
      </w:pPr>
      <w:r w:rsidRPr="00D431FE">
        <w:rPr>
          <w:rFonts w:cs="Arial"/>
          <w:i/>
          <w:iCs/>
          <w:szCs w:val="24"/>
          <w:lang w:eastAsia="ar-SA"/>
        </w:rPr>
        <w:t>Marriage and Civil partnership</w:t>
      </w:r>
    </w:p>
    <w:p w14:paraId="52DDE442" w14:textId="77777777" w:rsidR="004846D1" w:rsidRPr="00D431FE" w:rsidRDefault="004846D1" w:rsidP="008454C8">
      <w:pPr>
        <w:ind w:left="720" w:hanging="720"/>
      </w:pPr>
    </w:p>
    <w:p w14:paraId="6D8329A5" w14:textId="11B2BEB5" w:rsidR="007628FB" w:rsidRPr="00D431FE" w:rsidRDefault="00EB1413" w:rsidP="006C181F">
      <w:pPr>
        <w:ind w:left="851" w:hanging="851"/>
        <w:jc w:val="both"/>
      </w:pPr>
      <w:r w:rsidRPr="00D431FE">
        <w:t>8</w:t>
      </w:r>
      <w:r w:rsidR="00B74620" w:rsidRPr="00D431FE">
        <w:t>.2</w:t>
      </w:r>
      <w:r w:rsidR="00602C1C" w:rsidRPr="00D431FE">
        <w:t xml:space="preserve"> </w:t>
      </w:r>
      <w:r w:rsidR="00845E8D" w:rsidRPr="00D431FE">
        <w:tab/>
      </w:r>
      <w:r w:rsidR="00602C1C" w:rsidRPr="00D431FE">
        <w:t>Directorate</w:t>
      </w:r>
      <w:r w:rsidR="00686815" w:rsidRPr="00D431FE">
        <w:t xml:space="preserve"> proposals </w:t>
      </w:r>
      <w:r w:rsidR="00717CF8" w:rsidRPr="00D431FE">
        <w:t xml:space="preserve">will </w:t>
      </w:r>
      <w:r w:rsidR="00602C1C" w:rsidRPr="00D431FE">
        <w:t>be subject</w:t>
      </w:r>
      <w:r w:rsidR="00807DF4" w:rsidRPr="00D431FE">
        <w:t xml:space="preserve"> to an initial equalities impact assessment followed by a full assessment where appropriate.  These will be published along with the final budget and MTFS report to February Cabinet.  An assessment will also be carried out on the whole budget</w:t>
      </w:r>
      <w:r w:rsidR="007613C1" w:rsidRPr="00D431FE">
        <w:t xml:space="preserve"> whic</w:t>
      </w:r>
      <w:r w:rsidR="0019273B" w:rsidRPr="00D431FE">
        <w:t xml:space="preserve">h will include any relevant information from the budget </w:t>
      </w:r>
      <w:r w:rsidR="00B64BAE" w:rsidRPr="00D431FE">
        <w:t>consultation</w:t>
      </w:r>
      <w:r w:rsidR="00807DF4" w:rsidRPr="00D431FE">
        <w:t xml:space="preserve">, when all proposals have been identified, to ensure that decision makers are aware of any overall </w:t>
      </w:r>
      <w:r w:rsidR="00717CF8" w:rsidRPr="00D431FE">
        <w:t xml:space="preserve">equalities </w:t>
      </w:r>
      <w:r w:rsidR="00807DF4" w:rsidRPr="00D431FE">
        <w:t xml:space="preserve">impact on </w:t>
      </w:r>
      <w:r w:rsidR="00717CF8" w:rsidRPr="00D431FE">
        <w:t>the protected characteristics listed above.</w:t>
      </w:r>
      <w:bookmarkStart w:id="17" w:name="LastEdit"/>
      <w:bookmarkEnd w:id="17"/>
    </w:p>
    <w:p w14:paraId="7506F22F" w14:textId="70ACC7A6" w:rsidR="00396489" w:rsidRPr="00D431FE" w:rsidRDefault="00396489" w:rsidP="00396489">
      <w:pPr>
        <w:keepNext/>
        <w:spacing w:before="480"/>
        <w:outlineLvl w:val="3"/>
        <w:rPr>
          <w:rFonts w:cs="Arial"/>
          <w:b/>
          <w:sz w:val="28"/>
          <w:szCs w:val="28"/>
        </w:rPr>
      </w:pPr>
      <w:r w:rsidRPr="00D431FE">
        <w:rPr>
          <w:rFonts w:cs="Arial"/>
          <w:b/>
          <w:sz w:val="28"/>
          <w:szCs w:val="28"/>
        </w:rPr>
        <w:t>Council Priorities</w:t>
      </w:r>
    </w:p>
    <w:p w14:paraId="2685EF36" w14:textId="77777777" w:rsidR="00396489" w:rsidRPr="00D431FE" w:rsidRDefault="00396489" w:rsidP="00396489">
      <w:pPr>
        <w:rPr>
          <w:rFonts w:cs="Arial"/>
          <w:szCs w:val="24"/>
          <w:lang w:val="en-US"/>
        </w:rPr>
      </w:pPr>
    </w:p>
    <w:p w14:paraId="7B36A116" w14:textId="0E5AB1F1" w:rsidR="00396489" w:rsidRPr="00D431FE" w:rsidRDefault="00396489" w:rsidP="00396489">
      <w:pPr>
        <w:rPr>
          <w:rFonts w:cs="Arial"/>
          <w:szCs w:val="24"/>
          <w:lang w:val="en-US"/>
        </w:rPr>
      </w:pPr>
      <w:r w:rsidRPr="00D431FE">
        <w:rPr>
          <w:rFonts w:cs="Arial"/>
          <w:szCs w:val="24"/>
          <w:lang w:val="en-US"/>
        </w:rPr>
        <w:t>The Council’s draft budget and MTFS for 202</w:t>
      </w:r>
      <w:r w:rsidR="00D431FE" w:rsidRPr="00D431FE">
        <w:rPr>
          <w:rFonts w:cs="Arial"/>
          <w:szCs w:val="24"/>
          <w:lang w:val="en-US"/>
        </w:rPr>
        <w:t>4</w:t>
      </w:r>
      <w:r w:rsidRPr="00D431FE">
        <w:rPr>
          <w:rFonts w:cs="Arial"/>
          <w:szCs w:val="24"/>
          <w:lang w:val="en-US"/>
        </w:rPr>
        <w:t>/2</w:t>
      </w:r>
      <w:r w:rsidR="00D431FE" w:rsidRPr="00D431FE">
        <w:rPr>
          <w:rFonts w:cs="Arial"/>
          <w:szCs w:val="24"/>
          <w:lang w:val="en-US"/>
        </w:rPr>
        <w:t>5</w:t>
      </w:r>
      <w:r w:rsidRPr="00D431FE">
        <w:rPr>
          <w:rFonts w:cs="Arial"/>
          <w:szCs w:val="24"/>
          <w:lang w:val="en-US"/>
        </w:rPr>
        <w:t xml:space="preserve"> has been prepared in line with the Council’s priorities:</w:t>
      </w:r>
    </w:p>
    <w:p w14:paraId="79CECB37" w14:textId="77777777" w:rsidR="00396489" w:rsidRPr="00D431FE" w:rsidRDefault="00396489" w:rsidP="00396489">
      <w:pPr>
        <w:rPr>
          <w:rFonts w:cs="Arial"/>
          <w:szCs w:val="24"/>
          <w:lang w:val="en-US"/>
        </w:rPr>
      </w:pPr>
    </w:p>
    <w:p w14:paraId="5B7B59FF" w14:textId="48D14861" w:rsidR="00396489" w:rsidRPr="00587A40" w:rsidRDefault="00396489" w:rsidP="00587A40">
      <w:pPr>
        <w:numPr>
          <w:ilvl w:val="0"/>
          <w:numId w:val="9"/>
        </w:numPr>
        <w:rPr>
          <w:rFonts w:eastAsia="Calibri" w:cs="Arial"/>
          <w:color w:val="000000"/>
          <w:szCs w:val="22"/>
        </w:rPr>
      </w:pPr>
      <w:r w:rsidRPr="00587A40">
        <w:rPr>
          <w:rFonts w:eastAsia="Calibri" w:cs="Arial"/>
          <w:color w:val="000000"/>
          <w:szCs w:val="22"/>
          <w:lang w:eastAsia="en-GB"/>
        </w:rPr>
        <w:t>A council that puts residents first</w:t>
      </w:r>
    </w:p>
    <w:p w14:paraId="5C2F6FC7" w14:textId="46B366FD" w:rsidR="00396489" w:rsidRPr="00587A40" w:rsidRDefault="00396489" w:rsidP="00396489">
      <w:pPr>
        <w:numPr>
          <w:ilvl w:val="0"/>
          <w:numId w:val="9"/>
        </w:numPr>
        <w:rPr>
          <w:rFonts w:eastAsia="Calibri" w:cs="Arial"/>
          <w:color w:val="000000"/>
          <w:szCs w:val="22"/>
          <w:lang w:eastAsia="en-GB"/>
        </w:rPr>
      </w:pPr>
      <w:r w:rsidRPr="00587A40">
        <w:rPr>
          <w:rFonts w:eastAsia="Calibri" w:cs="Arial"/>
          <w:color w:val="000000"/>
          <w:szCs w:val="22"/>
          <w:lang w:eastAsia="en-GB"/>
        </w:rPr>
        <w:t>A borough that is clean and safe</w:t>
      </w:r>
    </w:p>
    <w:p w14:paraId="45357173" w14:textId="24931EA5" w:rsidR="00D85284" w:rsidRPr="00587A40" w:rsidRDefault="00396489" w:rsidP="00D431FE">
      <w:pPr>
        <w:numPr>
          <w:ilvl w:val="0"/>
          <w:numId w:val="9"/>
        </w:numPr>
        <w:rPr>
          <w:rFonts w:eastAsia="Calibri" w:cs="Arial"/>
          <w:color w:val="000000"/>
          <w:szCs w:val="22"/>
          <w:lang w:eastAsia="en-GB"/>
        </w:rPr>
      </w:pPr>
      <w:r w:rsidRPr="00587A40">
        <w:rPr>
          <w:rFonts w:eastAsia="Calibri" w:cs="Arial"/>
          <w:color w:val="000000"/>
          <w:szCs w:val="22"/>
          <w:lang w:eastAsia="en-GB"/>
        </w:rPr>
        <w:t>A place where those in need are supported</w:t>
      </w:r>
      <w:r w:rsidR="00513B81" w:rsidRPr="00587A40">
        <w:rPr>
          <w:rFonts w:eastAsia="Calibri" w:cs="Arial"/>
          <w:color w:val="000000"/>
          <w:szCs w:val="22"/>
          <w:lang w:eastAsia="en-GB"/>
        </w:rPr>
        <w:t>.</w:t>
      </w:r>
    </w:p>
    <w:p w14:paraId="0614EF7C" w14:textId="77777777"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lastRenderedPageBreak/>
        <w:t>Section 3 - Statutory Officer Clearance</w:t>
      </w:r>
    </w:p>
    <w:p w14:paraId="263BD36A" w14:textId="09F6292E" w:rsidR="00396489" w:rsidRPr="00D431FE" w:rsidRDefault="00396489" w:rsidP="00396489">
      <w:pPr>
        <w:rPr>
          <w:sz w:val="28"/>
        </w:rPr>
      </w:pPr>
      <w:r w:rsidRPr="00D431FE">
        <w:rPr>
          <w:b/>
          <w:sz w:val="28"/>
        </w:rPr>
        <w:t xml:space="preserve">Statutory Officer:  </w:t>
      </w:r>
      <w:r w:rsidR="00D431FE" w:rsidRPr="00D431FE">
        <w:rPr>
          <w:b/>
          <w:sz w:val="28"/>
        </w:rPr>
        <w:t>Sharon Daniels</w:t>
      </w:r>
    </w:p>
    <w:p w14:paraId="0364B987" w14:textId="5A06CCA7" w:rsidR="00396489" w:rsidRPr="00D431FE" w:rsidRDefault="00587A40" w:rsidP="00396489">
      <w:r>
        <w:t xml:space="preserve">Signed by the </w:t>
      </w:r>
      <w:r w:rsidR="0098531C" w:rsidRPr="00D431FE">
        <w:t xml:space="preserve">Chief </w:t>
      </w:r>
      <w:r w:rsidR="00396489" w:rsidRPr="00D431FE">
        <w:t>Financial Officer</w:t>
      </w:r>
    </w:p>
    <w:p w14:paraId="4A2E13DC" w14:textId="3FB5631D" w:rsidR="00396489" w:rsidRDefault="00396489" w:rsidP="00587A40">
      <w:pPr>
        <w:rPr>
          <w:b/>
          <w:sz w:val="28"/>
        </w:rPr>
      </w:pPr>
      <w:r w:rsidRPr="00D431FE">
        <w:rPr>
          <w:b/>
          <w:sz w:val="28"/>
        </w:rPr>
        <w:t xml:space="preserve">Date:  </w:t>
      </w:r>
      <w:r w:rsidR="00513B81">
        <w:rPr>
          <w:b/>
          <w:sz w:val="28"/>
        </w:rPr>
        <w:t>27/11/2023</w:t>
      </w:r>
    </w:p>
    <w:p w14:paraId="2CA82DF2" w14:textId="77777777" w:rsidR="00587A40" w:rsidRPr="00D431FE" w:rsidRDefault="00587A40" w:rsidP="00587A40">
      <w:pPr>
        <w:rPr>
          <w:b/>
          <w:sz w:val="28"/>
        </w:rPr>
      </w:pPr>
    </w:p>
    <w:p w14:paraId="64BCB204" w14:textId="1E2B8AE6" w:rsidR="00396489" w:rsidRPr="00D431FE" w:rsidRDefault="00396489" w:rsidP="00396489">
      <w:pPr>
        <w:rPr>
          <w:sz w:val="28"/>
        </w:rPr>
      </w:pPr>
      <w:r w:rsidRPr="00D431FE">
        <w:rPr>
          <w:b/>
          <w:sz w:val="28"/>
        </w:rPr>
        <w:t xml:space="preserve">Statutory Officer: </w:t>
      </w:r>
      <w:r w:rsidR="002D19E9">
        <w:rPr>
          <w:b/>
          <w:sz w:val="28"/>
        </w:rPr>
        <w:t>Jessica Farmer</w:t>
      </w:r>
    </w:p>
    <w:p w14:paraId="0219FD2A" w14:textId="262CFE9F" w:rsidR="00396489" w:rsidRPr="00D431FE" w:rsidRDefault="00396489" w:rsidP="00396489">
      <w:r w:rsidRPr="00D431FE">
        <w:t xml:space="preserve">Signed </w:t>
      </w:r>
      <w:r w:rsidR="00587A40">
        <w:t xml:space="preserve">by the </w:t>
      </w:r>
      <w:r w:rsidRPr="00D431FE">
        <w:t>Monitoring Officer</w:t>
      </w:r>
    </w:p>
    <w:p w14:paraId="3A11E3B0" w14:textId="4822444D" w:rsidR="00396489" w:rsidRDefault="00396489" w:rsidP="00587A40">
      <w:pPr>
        <w:rPr>
          <w:b/>
          <w:sz w:val="28"/>
        </w:rPr>
      </w:pPr>
      <w:r w:rsidRPr="00D431FE">
        <w:rPr>
          <w:b/>
          <w:sz w:val="28"/>
        </w:rPr>
        <w:t xml:space="preserve">Date:  </w:t>
      </w:r>
      <w:r w:rsidR="0057766F">
        <w:rPr>
          <w:b/>
          <w:sz w:val="28"/>
        </w:rPr>
        <w:t>07/12/2023</w:t>
      </w:r>
    </w:p>
    <w:p w14:paraId="65A32C6A" w14:textId="77777777" w:rsidR="00587A40" w:rsidRPr="00D431FE" w:rsidRDefault="00587A40" w:rsidP="00587A40">
      <w:pPr>
        <w:rPr>
          <w:b/>
          <w:sz w:val="28"/>
        </w:rPr>
      </w:pPr>
    </w:p>
    <w:p w14:paraId="5B58AFF4" w14:textId="42C8853B" w:rsidR="00396489" w:rsidRPr="00D431FE" w:rsidRDefault="00396489" w:rsidP="00396489">
      <w:pPr>
        <w:rPr>
          <w:sz w:val="28"/>
        </w:rPr>
      </w:pPr>
      <w:r w:rsidRPr="00D431FE">
        <w:rPr>
          <w:b/>
          <w:sz w:val="28"/>
        </w:rPr>
        <w:t xml:space="preserve">Chief Officer: </w:t>
      </w:r>
      <w:r w:rsidR="00513B81">
        <w:rPr>
          <w:b/>
          <w:sz w:val="28"/>
        </w:rPr>
        <w:t>Sharon Daniels</w:t>
      </w:r>
    </w:p>
    <w:p w14:paraId="0B32B1C5" w14:textId="21AC0ECA" w:rsidR="00396489" w:rsidRPr="00D431FE" w:rsidRDefault="00396489" w:rsidP="00396489">
      <w:r w:rsidRPr="00D431FE">
        <w:t xml:space="preserve">Signed off </w:t>
      </w:r>
      <w:r w:rsidR="00513B81">
        <w:t>on behalf of</w:t>
      </w:r>
      <w:r w:rsidRPr="00D431FE">
        <w:t xml:space="preserve"> the</w:t>
      </w:r>
      <w:r w:rsidR="00D431FE" w:rsidRPr="00D431FE">
        <w:t xml:space="preserve"> Managing Director</w:t>
      </w:r>
    </w:p>
    <w:p w14:paraId="32DA7F3A" w14:textId="3FEBD4AC" w:rsidR="00396489" w:rsidRDefault="00396489" w:rsidP="00587A40">
      <w:pPr>
        <w:rPr>
          <w:b/>
          <w:sz w:val="28"/>
        </w:rPr>
      </w:pPr>
      <w:r w:rsidRPr="00D431FE">
        <w:rPr>
          <w:b/>
          <w:sz w:val="28"/>
        </w:rPr>
        <w:t xml:space="preserve">Date:  </w:t>
      </w:r>
      <w:r w:rsidR="00513B81">
        <w:rPr>
          <w:b/>
          <w:sz w:val="28"/>
        </w:rPr>
        <w:t>27/11/2023</w:t>
      </w:r>
    </w:p>
    <w:p w14:paraId="554A8F1E" w14:textId="77777777" w:rsidR="00587A40" w:rsidRPr="00D431FE" w:rsidRDefault="00587A40" w:rsidP="00587A40">
      <w:pPr>
        <w:rPr>
          <w:sz w:val="28"/>
        </w:rPr>
      </w:pPr>
    </w:p>
    <w:p w14:paraId="034F9171" w14:textId="7DD6263B" w:rsidR="00396489" w:rsidRPr="00D431FE" w:rsidRDefault="00396489" w:rsidP="00396489">
      <w:pPr>
        <w:rPr>
          <w:sz w:val="28"/>
        </w:rPr>
      </w:pPr>
      <w:r w:rsidRPr="00D431FE">
        <w:rPr>
          <w:b/>
          <w:sz w:val="28"/>
        </w:rPr>
        <w:t xml:space="preserve">Head of Procurement:  </w:t>
      </w:r>
      <w:r w:rsidR="00E011B8" w:rsidRPr="00D431FE">
        <w:rPr>
          <w:b/>
          <w:sz w:val="28"/>
        </w:rPr>
        <w:t>Nimesh Mehta</w:t>
      </w:r>
    </w:p>
    <w:p w14:paraId="045DB31B" w14:textId="27F84BC6" w:rsidR="00396489" w:rsidRPr="00D431FE" w:rsidRDefault="00396489" w:rsidP="00396489">
      <w:r w:rsidRPr="00D431FE">
        <w:t>Signed by the Head of Procurement</w:t>
      </w:r>
    </w:p>
    <w:p w14:paraId="19ACD100" w14:textId="4C1D2C43" w:rsidR="00396489" w:rsidRDefault="00396489" w:rsidP="00587A40">
      <w:pPr>
        <w:rPr>
          <w:b/>
          <w:sz w:val="28"/>
        </w:rPr>
      </w:pPr>
      <w:r w:rsidRPr="00D431FE">
        <w:rPr>
          <w:b/>
          <w:sz w:val="28"/>
        </w:rPr>
        <w:t xml:space="preserve">Date:  </w:t>
      </w:r>
      <w:r w:rsidR="00513B81">
        <w:rPr>
          <w:b/>
          <w:sz w:val="28"/>
        </w:rPr>
        <w:t>27/11/2023</w:t>
      </w:r>
    </w:p>
    <w:p w14:paraId="1637D83D" w14:textId="77777777" w:rsidR="00587A40" w:rsidRPr="00D431FE" w:rsidRDefault="00587A40" w:rsidP="00587A40">
      <w:pPr>
        <w:rPr>
          <w:sz w:val="28"/>
        </w:rPr>
      </w:pPr>
    </w:p>
    <w:p w14:paraId="15DABDB3" w14:textId="38E2E793" w:rsidR="00396489" w:rsidRPr="00D431FE" w:rsidRDefault="00396489" w:rsidP="00396489">
      <w:pPr>
        <w:rPr>
          <w:sz w:val="28"/>
        </w:rPr>
      </w:pPr>
      <w:r w:rsidRPr="00D431FE">
        <w:rPr>
          <w:b/>
          <w:sz w:val="28"/>
        </w:rPr>
        <w:t xml:space="preserve">Head of Internal Audit:  </w:t>
      </w:r>
    </w:p>
    <w:p w14:paraId="13A1DD11" w14:textId="7B7FB2B5" w:rsidR="00396489" w:rsidRPr="00D431FE" w:rsidRDefault="00396489" w:rsidP="00396489">
      <w:r w:rsidRPr="00D431FE">
        <w:t>Signed on behalf of the Head of Internal Audit</w:t>
      </w:r>
    </w:p>
    <w:p w14:paraId="7A10969A" w14:textId="696E852F" w:rsidR="00587A40" w:rsidRPr="0057766F" w:rsidRDefault="00396489" w:rsidP="00587A40">
      <w:pPr>
        <w:rPr>
          <w:b/>
          <w:sz w:val="28"/>
        </w:rPr>
      </w:pPr>
      <w:r w:rsidRPr="0057766F">
        <w:rPr>
          <w:b/>
          <w:sz w:val="28"/>
        </w:rPr>
        <w:t>Date:</w:t>
      </w:r>
      <w:r w:rsidR="00E011B8" w:rsidRPr="0057766F">
        <w:rPr>
          <w:b/>
          <w:sz w:val="28"/>
        </w:rPr>
        <w:t xml:space="preserve"> </w:t>
      </w:r>
      <w:r w:rsidR="00513B81" w:rsidRPr="0057766F">
        <w:rPr>
          <w:b/>
          <w:sz w:val="28"/>
        </w:rPr>
        <w:t>27/11/2023</w:t>
      </w:r>
    </w:p>
    <w:p w14:paraId="7F522276" w14:textId="77777777"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t>Mandatory Checks</w:t>
      </w:r>
    </w:p>
    <w:p w14:paraId="7BB76A01" w14:textId="791CCCF9" w:rsidR="00396489" w:rsidRPr="00D431FE" w:rsidRDefault="00396489" w:rsidP="00D85284">
      <w:pPr>
        <w:outlineLvl w:val="2"/>
        <w:rPr>
          <w:rFonts w:cs="Arial"/>
          <w:b/>
          <w:bCs/>
          <w:sz w:val="28"/>
          <w:szCs w:val="28"/>
        </w:rPr>
      </w:pPr>
      <w:r w:rsidRPr="00D431FE">
        <w:rPr>
          <w:rFonts w:cs="Arial"/>
          <w:b/>
          <w:bCs/>
          <w:sz w:val="28"/>
          <w:szCs w:val="28"/>
        </w:rPr>
        <w:t xml:space="preserve">Ward Councillors notified:  NO, as it impacts on all Wards </w:t>
      </w:r>
    </w:p>
    <w:p w14:paraId="042DBBDF" w14:textId="5F50D398" w:rsidR="00396489" w:rsidRPr="00D431FE" w:rsidRDefault="00396489" w:rsidP="00D85284">
      <w:pPr>
        <w:spacing w:before="240"/>
        <w:ind w:left="720" w:hanging="720"/>
        <w:jc w:val="both"/>
        <w:outlineLvl w:val="2"/>
        <w:rPr>
          <w:rFonts w:cs="Arial"/>
          <w:bCs/>
          <w:sz w:val="28"/>
          <w:szCs w:val="28"/>
        </w:rPr>
      </w:pPr>
      <w:proofErr w:type="spellStart"/>
      <w:r w:rsidRPr="00D431FE">
        <w:rPr>
          <w:rFonts w:cs="Arial"/>
          <w:b/>
          <w:bCs/>
          <w:sz w:val="28"/>
          <w:szCs w:val="28"/>
        </w:rPr>
        <w:t>EqIA</w:t>
      </w:r>
      <w:proofErr w:type="spellEnd"/>
      <w:r w:rsidRPr="00D431FE">
        <w:rPr>
          <w:rFonts w:cs="Arial"/>
          <w:b/>
          <w:bCs/>
          <w:sz w:val="28"/>
          <w:szCs w:val="28"/>
        </w:rPr>
        <w:t xml:space="preserve"> carried out:  NO – to be reported as part of the February 202</w:t>
      </w:r>
      <w:r w:rsidR="00D431FE" w:rsidRPr="00D431FE">
        <w:rPr>
          <w:rFonts w:cs="Arial"/>
          <w:b/>
          <w:bCs/>
          <w:sz w:val="28"/>
          <w:szCs w:val="28"/>
        </w:rPr>
        <w:t>4</w:t>
      </w:r>
      <w:r w:rsidRPr="00D431FE">
        <w:rPr>
          <w:rFonts w:cs="Arial"/>
          <w:b/>
          <w:bCs/>
          <w:sz w:val="28"/>
          <w:szCs w:val="28"/>
        </w:rPr>
        <w:t xml:space="preserve"> final budget report</w:t>
      </w:r>
    </w:p>
    <w:p w14:paraId="06A2F074" w14:textId="52AE3BC0" w:rsidR="00396489" w:rsidRPr="00D431FE" w:rsidRDefault="00396489" w:rsidP="00396489">
      <w:pPr>
        <w:spacing w:before="480" w:after="240"/>
        <w:outlineLvl w:val="1"/>
        <w:rPr>
          <w:rFonts w:ascii="Arial Black" w:hAnsi="Arial Black" w:cs="Arial"/>
          <w:b/>
          <w:bCs/>
          <w:sz w:val="32"/>
          <w:szCs w:val="32"/>
        </w:rPr>
      </w:pPr>
      <w:r w:rsidRPr="00D431FE">
        <w:rPr>
          <w:rFonts w:ascii="Arial Black" w:hAnsi="Arial Black" w:cs="Arial"/>
          <w:b/>
          <w:bCs/>
          <w:sz w:val="32"/>
          <w:szCs w:val="32"/>
        </w:rPr>
        <w:t>Section 4 - Contact Details and Background Papers</w:t>
      </w:r>
    </w:p>
    <w:p w14:paraId="33EF4851" w14:textId="4C1D1A0F" w:rsidR="00396489" w:rsidRPr="00D431FE" w:rsidRDefault="00396489" w:rsidP="00396489">
      <w:pPr>
        <w:spacing w:after="240"/>
        <w:rPr>
          <w:sz w:val="28"/>
        </w:rPr>
      </w:pPr>
      <w:r w:rsidRPr="00D431FE">
        <w:rPr>
          <w:b/>
          <w:sz w:val="28"/>
        </w:rPr>
        <w:t xml:space="preserve">Contact:  </w:t>
      </w:r>
      <w:r w:rsidR="00D431FE" w:rsidRPr="00D431FE">
        <w:rPr>
          <w:sz w:val="28"/>
        </w:rPr>
        <w:t xml:space="preserve">Sharon Daniels </w:t>
      </w:r>
      <w:r w:rsidR="00E011B8" w:rsidRPr="00D431FE">
        <w:rPr>
          <w:sz w:val="28"/>
        </w:rPr>
        <w:t xml:space="preserve">– </w:t>
      </w:r>
      <w:r w:rsidR="00D431FE" w:rsidRPr="00D431FE">
        <w:rPr>
          <w:sz w:val="28"/>
        </w:rPr>
        <w:t xml:space="preserve">Interim </w:t>
      </w:r>
      <w:r w:rsidR="00E011B8" w:rsidRPr="00D431FE">
        <w:rPr>
          <w:sz w:val="28"/>
        </w:rPr>
        <w:t xml:space="preserve">Director of Finance &amp; Assurance. </w:t>
      </w:r>
      <w:r w:rsidR="00D431FE" w:rsidRPr="00D431FE">
        <w:rPr>
          <w:sz w:val="28"/>
        </w:rPr>
        <w:t>Sharon.Daniels</w:t>
      </w:r>
      <w:r w:rsidR="00E011B8" w:rsidRPr="00D431FE">
        <w:rPr>
          <w:sz w:val="28"/>
        </w:rPr>
        <w:t>@harrow.gov.uk</w:t>
      </w:r>
    </w:p>
    <w:p w14:paraId="7DB60B69" w14:textId="346E9AD5" w:rsidR="00396489" w:rsidRPr="00D431FE" w:rsidRDefault="00396489" w:rsidP="00396489">
      <w:pPr>
        <w:spacing w:after="240"/>
        <w:rPr>
          <w:b/>
          <w:sz w:val="28"/>
        </w:rPr>
      </w:pPr>
      <w:r w:rsidRPr="00D431FE">
        <w:rPr>
          <w:b/>
          <w:sz w:val="28"/>
        </w:rPr>
        <w:t xml:space="preserve">Background Papers:  </w:t>
      </w:r>
      <w:r w:rsidR="00E011B8" w:rsidRPr="00D431FE">
        <w:rPr>
          <w:b/>
          <w:sz w:val="28"/>
        </w:rPr>
        <w:t>NONE</w:t>
      </w:r>
    </w:p>
    <w:p w14:paraId="351330BD" w14:textId="011BBCD0" w:rsidR="001966D7" w:rsidRPr="00587A40" w:rsidRDefault="00396489" w:rsidP="00587A40">
      <w:pPr>
        <w:spacing w:before="480"/>
        <w:rPr>
          <w:i/>
          <w:szCs w:val="24"/>
        </w:rPr>
      </w:pPr>
      <w:r w:rsidRPr="00D431FE">
        <w:rPr>
          <w:rFonts w:ascii="Arial Black" w:hAnsi="Arial Black"/>
          <w:sz w:val="28"/>
        </w:rPr>
        <w:t>Call-in waived by the Chair of Overview and Scrutiny Committee</w:t>
      </w:r>
      <w:r w:rsidR="00587A40">
        <w:rPr>
          <w:rFonts w:ascii="Arial Black" w:hAnsi="Arial Black"/>
          <w:sz w:val="28"/>
        </w:rPr>
        <w:t>: No</w:t>
      </w:r>
    </w:p>
    <w:sectPr w:rsidR="001966D7" w:rsidRPr="00587A40" w:rsidSect="00366537">
      <w:headerReference w:type="default" r:id="rId14"/>
      <w:headerReference w:type="first" r:id="rId15"/>
      <w:footerReference w:type="first" r:id="rId16"/>
      <w:pgSz w:w="11909" w:h="16834" w:code="9"/>
      <w:pgMar w:top="568"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CB7B" w14:textId="77777777" w:rsidR="00541D5A" w:rsidRDefault="00541D5A">
      <w:r>
        <w:separator/>
      </w:r>
    </w:p>
  </w:endnote>
  <w:endnote w:type="continuationSeparator" w:id="0">
    <w:p w14:paraId="60DFA40C" w14:textId="77777777" w:rsidR="00541D5A" w:rsidRDefault="0054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C2F6" w14:textId="77777777" w:rsidR="005E5AD4" w:rsidRDefault="005E5AD4">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5E5AD4" w:rsidRDefault="005E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3C1" w14:textId="77777777" w:rsidR="005E5AD4" w:rsidRDefault="005E5AD4">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5E5AD4" w:rsidRPr="00F91AE4" w:rsidRDefault="005E5AD4"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E967" w14:textId="77777777" w:rsidR="005E5AD4" w:rsidRDefault="005E5AD4">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5E5AD4" w:rsidRPr="008C69F5" w:rsidRDefault="005E5AD4"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52F4" w14:textId="77777777" w:rsidR="00541D5A" w:rsidRDefault="00541D5A">
      <w:r>
        <w:separator/>
      </w:r>
    </w:p>
  </w:footnote>
  <w:footnote w:type="continuationSeparator" w:id="0">
    <w:p w14:paraId="63AE84CC" w14:textId="77777777" w:rsidR="00541D5A" w:rsidRDefault="0054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6F92" w14:textId="77777777" w:rsidR="005E5AD4" w:rsidRDefault="005E5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0227" w14:textId="77777777" w:rsidR="005E5AD4" w:rsidRDefault="005E5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65CA58E4"/>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5" w15:restartNumberingAfterBreak="0">
    <w:nsid w:val="07950266"/>
    <w:multiLevelType w:val="multilevel"/>
    <w:tmpl w:val="81B8F6E0"/>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82C23"/>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A16446"/>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FE3262"/>
    <w:multiLevelType w:val="multilevel"/>
    <w:tmpl w:val="2BA4AC10"/>
    <w:lvl w:ilvl="0">
      <w:start w:val="1"/>
      <w:numFmt w:val="decimal"/>
      <w:lvlText w:val="%1"/>
      <w:lvlJc w:val="left"/>
      <w:pPr>
        <w:ind w:left="710" w:hanging="710"/>
      </w:pPr>
      <w:rPr>
        <w:rFonts w:hint="default"/>
      </w:rPr>
    </w:lvl>
    <w:lvl w:ilvl="1">
      <w:start w:val="4"/>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32179"/>
    <w:multiLevelType w:val="multilevel"/>
    <w:tmpl w:val="145096B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AF2EC1"/>
    <w:multiLevelType w:val="multilevel"/>
    <w:tmpl w:val="A08457D0"/>
    <w:lvl w:ilvl="0">
      <w:start w:val="1"/>
      <w:numFmt w:val="decimal"/>
      <w:lvlText w:val="%1"/>
      <w:lvlJc w:val="left"/>
      <w:pPr>
        <w:ind w:left="480" w:hanging="480"/>
      </w:pPr>
      <w:rPr>
        <w:rFonts w:cs="Arial" w:hint="default"/>
      </w:rPr>
    </w:lvl>
    <w:lvl w:ilvl="1">
      <w:start w:val="5"/>
      <w:numFmt w:val="decimalZero"/>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5C81F2D"/>
    <w:multiLevelType w:val="multilevel"/>
    <w:tmpl w:val="18A82E06"/>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45F32"/>
    <w:multiLevelType w:val="multilevel"/>
    <w:tmpl w:val="18A82E06"/>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3476CA"/>
    <w:multiLevelType w:val="multilevel"/>
    <w:tmpl w:val="DA56B4AE"/>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CC12BAA"/>
    <w:multiLevelType w:val="multilevel"/>
    <w:tmpl w:val="EC18F474"/>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8A36FF"/>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E766C"/>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3D1FE2"/>
    <w:multiLevelType w:val="multilevel"/>
    <w:tmpl w:val="145096B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b w:val="0"/>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554CC0"/>
    <w:multiLevelType w:val="multilevel"/>
    <w:tmpl w:val="4EA6BAB6"/>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8917D3"/>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4D5BCC"/>
    <w:multiLevelType w:val="multilevel"/>
    <w:tmpl w:val="EC18F474"/>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90469D"/>
    <w:multiLevelType w:val="multilevel"/>
    <w:tmpl w:val="86C0D2AC"/>
    <w:lvl w:ilvl="0">
      <w:start w:val="1"/>
      <w:numFmt w:val="decimal"/>
      <w:lvlText w:val="%1"/>
      <w:lvlJc w:val="left"/>
      <w:pPr>
        <w:ind w:left="460" w:hanging="460"/>
      </w:pPr>
      <w:rPr>
        <w:rFonts w:hint="default"/>
      </w:rPr>
    </w:lvl>
    <w:lvl w:ilvl="1">
      <w:start w:val="34"/>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8B8"/>
    <w:multiLevelType w:val="hybridMultilevel"/>
    <w:tmpl w:val="315A8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E2E2C26"/>
    <w:multiLevelType w:val="multilevel"/>
    <w:tmpl w:val="C12E7642"/>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890638"/>
    <w:multiLevelType w:val="multilevel"/>
    <w:tmpl w:val="9732F1CA"/>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B1104B"/>
    <w:multiLevelType w:val="hybridMultilevel"/>
    <w:tmpl w:val="7DA47226"/>
    <w:lvl w:ilvl="0" w:tplc="A3C408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9E167B"/>
    <w:multiLevelType w:val="hybridMultilevel"/>
    <w:tmpl w:val="27D4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75729"/>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3C6A95"/>
    <w:multiLevelType w:val="multilevel"/>
    <w:tmpl w:val="59D6E134"/>
    <w:lvl w:ilvl="0">
      <w:start w:val="1"/>
      <w:numFmt w:val="decimal"/>
      <w:lvlText w:val="%1"/>
      <w:lvlJc w:val="left"/>
      <w:pPr>
        <w:ind w:left="460" w:hanging="460"/>
      </w:pPr>
      <w:rPr>
        <w:rFonts w:cs="Arial" w:hint="default"/>
      </w:rPr>
    </w:lvl>
    <w:lvl w:ilvl="1">
      <w:start w:val="5"/>
      <w:numFmt w:val="decimalZero"/>
      <w:lvlText w:val="%1.%2"/>
      <w:lvlJc w:val="left"/>
      <w:pPr>
        <w:ind w:left="1169" w:hanging="4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30" w15:restartNumberingAfterBreak="0">
    <w:nsid w:val="4B80289D"/>
    <w:multiLevelType w:val="multilevel"/>
    <w:tmpl w:val="71AC5E54"/>
    <w:lvl w:ilvl="0">
      <w:start w:val="1"/>
      <w:numFmt w:val="decimal"/>
      <w:lvlText w:val="%1"/>
      <w:lvlJc w:val="left"/>
      <w:pPr>
        <w:ind w:left="460" w:hanging="460"/>
      </w:pPr>
      <w:rPr>
        <w:rFonts w:cs="Arial" w:hint="default"/>
      </w:rPr>
    </w:lvl>
    <w:lvl w:ilvl="1">
      <w:start w:val="5"/>
      <w:numFmt w:val="decimalZero"/>
      <w:lvlText w:val="%1.%2"/>
      <w:lvlJc w:val="left"/>
      <w:pPr>
        <w:ind w:left="460" w:hanging="4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1" w15:restartNumberingAfterBreak="0">
    <w:nsid w:val="537026FB"/>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400B1B"/>
    <w:multiLevelType w:val="multilevel"/>
    <w:tmpl w:val="6DB07DBA"/>
    <w:lvl w:ilvl="0">
      <w:start w:val="1"/>
      <w:numFmt w:val="decimal"/>
      <w:lvlText w:val="%1"/>
      <w:lvlJc w:val="left"/>
      <w:pPr>
        <w:ind w:left="460" w:hanging="460"/>
      </w:pPr>
      <w:rPr>
        <w:rFonts w:hint="default"/>
      </w:rPr>
    </w:lvl>
    <w:lvl w:ilvl="1">
      <w:start w:val="47"/>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0625F8"/>
    <w:multiLevelType w:val="hybridMultilevel"/>
    <w:tmpl w:val="27E044B4"/>
    <w:lvl w:ilvl="0" w:tplc="D4F8C8DC">
      <w:start w:val="1"/>
      <w:numFmt w:val="bullet"/>
      <w:lvlText w:val="-"/>
      <w:lvlJc w:val="left"/>
      <w:pPr>
        <w:ind w:left="1150" w:hanging="360"/>
      </w:pPr>
      <w:rPr>
        <w:rFonts w:ascii="Arial" w:eastAsia="Times New Roman" w:hAnsi="Arial" w:cs="Aria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34" w15:restartNumberingAfterBreak="0">
    <w:nsid w:val="5A122929"/>
    <w:multiLevelType w:val="hybridMultilevel"/>
    <w:tmpl w:val="83AE41CA"/>
    <w:lvl w:ilvl="0" w:tplc="CE9821F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63908"/>
    <w:multiLevelType w:val="hybridMultilevel"/>
    <w:tmpl w:val="AA10BD7E"/>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36" w15:restartNumberingAfterBreak="0">
    <w:nsid w:val="65C1633C"/>
    <w:multiLevelType w:val="multilevel"/>
    <w:tmpl w:val="5F4A3200"/>
    <w:lvl w:ilvl="0">
      <w:start w:val="1"/>
      <w:numFmt w:val="decimal"/>
      <w:lvlText w:val="%1"/>
      <w:lvlJc w:val="left"/>
      <w:pPr>
        <w:ind w:left="460" w:hanging="460"/>
      </w:pPr>
      <w:rPr>
        <w:rFonts w:hint="default"/>
      </w:rPr>
    </w:lvl>
    <w:lvl w:ilvl="1">
      <w:start w:val="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6D621B"/>
    <w:multiLevelType w:val="hybridMultilevel"/>
    <w:tmpl w:val="D400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EC0"/>
    <w:multiLevelType w:val="multilevel"/>
    <w:tmpl w:val="816A25A4"/>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7E1107"/>
    <w:multiLevelType w:val="multilevel"/>
    <w:tmpl w:val="D5F81D6E"/>
    <w:lvl w:ilvl="0">
      <w:start w:val="1"/>
      <w:numFmt w:val="decimal"/>
      <w:lvlText w:val="%1"/>
      <w:lvlJc w:val="left"/>
      <w:pPr>
        <w:ind w:left="460" w:hanging="460"/>
      </w:pPr>
      <w:rPr>
        <w:rFonts w:hint="default"/>
      </w:rPr>
    </w:lvl>
    <w:lvl w:ilvl="1">
      <w:start w:val="47"/>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190E5C"/>
    <w:multiLevelType w:val="multilevel"/>
    <w:tmpl w:val="3CC004DC"/>
    <w:lvl w:ilvl="0">
      <w:start w:val="1"/>
      <w:numFmt w:val="decimal"/>
      <w:lvlText w:val="%1"/>
      <w:lvlJc w:val="left"/>
      <w:pPr>
        <w:ind w:left="460" w:hanging="460"/>
      </w:pPr>
      <w:rPr>
        <w:rFonts w:hint="default"/>
      </w:rPr>
    </w:lvl>
    <w:lvl w:ilvl="1">
      <w:start w:val="45"/>
      <w:numFmt w:val="decimalZero"/>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BA3494"/>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67686A"/>
    <w:multiLevelType w:val="multilevel"/>
    <w:tmpl w:val="21BA4CC0"/>
    <w:lvl w:ilvl="0">
      <w:start w:val="1"/>
      <w:numFmt w:val="decimal"/>
      <w:lvlText w:val="%1"/>
      <w:lvlJc w:val="left"/>
      <w:pPr>
        <w:ind w:left="710" w:hanging="710"/>
      </w:pPr>
      <w:rPr>
        <w:rFonts w:hint="default"/>
      </w:rPr>
    </w:lvl>
    <w:lvl w:ilvl="1">
      <w:start w:val="1"/>
      <w:numFmt w:val="decimalZero"/>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9B2AFE"/>
    <w:multiLevelType w:val="hybridMultilevel"/>
    <w:tmpl w:val="1980CB16"/>
    <w:lvl w:ilvl="0" w:tplc="CE9821F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226005">
    <w:abstractNumId w:val="0"/>
  </w:num>
  <w:num w:numId="2" w16cid:durableId="1664157783">
    <w:abstractNumId w:val="1"/>
  </w:num>
  <w:num w:numId="3" w16cid:durableId="2136630860">
    <w:abstractNumId w:val="2"/>
  </w:num>
  <w:num w:numId="4" w16cid:durableId="263735265">
    <w:abstractNumId w:val="41"/>
  </w:num>
  <w:num w:numId="5" w16cid:durableId="1249382496">
    <w:abstractNumId w:val="4"/>
  </w:num>
  <w:num w:numId="6" w16cid:durableId="1966082145">
    <w:abstractNumId w:val="25"/>
  </w:num>
  <w:num w:numId="7" w16cid:durableId="1414546377">
    <w:abstractNumId w:val="22"/>
  </w:num>
  <w:num w:numId="8" w16cid:durableId="1715694508">
    <w:abstractNumId w:val="33"/>
  </w:num>
  <w:num w:numId="9" w16cid:durableId="2003048622">
    <w:abstractNumId w:val="26"/>
  </w:num>
  <w:num w:numId="10" w16cid:durableId="1845127881">
    <w:abstractNumId w:val="35"/>
  </w:num>
  <w:num w:numId="11" w16cid:durableId="1666084386">
    <w:abstractNumId w:val="10"/>
  </w:num>
  <w:num w:numId="12" w16cid:durableId="677586619">
    <w:abstractNumId w:val="30"/>
  </w:num>
  <w:num w:numId="13" w16cid:durableId="1496727732">
    <w:abstractNumId w:val="29"/>
  </w:num>
  <w:num w:numId="14" w16cid:durableId="336543083">
    <w:abstractNumId w:val="13"/>
  </w:num>
  <w:num w:numId="15" w16cid:durableId="1990741508">
    <w:abstractNumId w:val="12"/>
  </w:num>
  <w:num w:numId="16" w16cid:durableId="537013473">
    <w:abstractNumId w:val="37"/>
  </w:num>
  <w:num w:numId="17" w16cid:durableId="2051808122">
    <w:abstractNumId w:val="27"/>
  </w:num>
  <w:num w:numId="18" w16cid:durableId="1244413758">
    <w:abstractNumId w:val="36"/>
  </w:num>
  <w:num w:numId="19" w16cid:durableId="1117334056">
    <w:abstractNumId w:val="24"/>
  </w:num>
  <w:num w:numId="20" w16cid:durableId="1432123907">
    <w:abstractNumId w:val="5"/>
  </w:num>
  <w:num w:numId="21" w16cid:durableId="1810777446">
    <w:abstractNumId w:val="8"/>
  </w:num>
  <w:num w:numId="22" w16cid:durableId="2010668605">
    <w:abstractNumId w:val="9"/>
  </w:num>
  <w:num w:numId="23" w16cid:durableId="526286829">
    <w:abstractNumId w:val="43"/>
  </w:num>
  <w:num w:numId="24" w16cid:durableId="612203349">
    <w:abstractNumId w:val="16"/>
  </w:num>
  <w:num w:numId="25" w16cid:durableId="522598258">
    <w:abstractNumId w:val="28"/>
  </w:num>
  <w:num w:numId="26" w16cid:durableId="2072463365">
    <w:abstractNumId w:val="19"/>
  </w:num>
  <w:num w:numId="27" w16cid:durableId="302345867">
    <w:abstractNumId w:val="7"/>
  </w:num>
  <w:num w:numId="28" w16cid:durableId="907886035">
    <w:abstractNumId w:val="42"/>
  </w:num>
  <w:num w:numId="29" w16cid:durableId="1449155590">
    <w:abstractNumId w:val="11"/>
  </w:num>
  <w:num w:numId="30" w16cid:durableId="1984894056">
    <w:abstractNumId w:val="44"/>
  </w:num>
  <w:num w:numId="31" w16cid:durableId="2076276442">
    <w:abstractNumId w:val="34"/>
  </w:num>
  <w:num w:numId="32" w16cid:durableId="1185024151">
    <w:abstractNumId w:val="15"/>
  </w:num>
  <w:num w:numId="33" w16cid:durableId="1386023971">
    <w:abstractNumId w:val="31"/>
  </w:num>
  <w:num w:numId="34" w16cid:durableId="1592931885">
    <w:abstractNumId w:val="6"/>
  </w:num>
  <w:num w:numId="35" w16cid:durableId="685980740">
    <w:abstractNumId w:val="14"/>
  </w:num>
  <w:num w:numId="36" w16cid:durableId="207376243">
    <w:abstractNumId w:val="20"/>
  </w:num>
  <w:num w:numId="37" w16cid:durableId="1253247029">
    <w:abstractNumId w:val="17"/>
  </w:num>
  <w:num w:numId="38" w16cid:durableId="1316757934">
    <w:abstractNumId w:val="21"/>
  </w:num>
  <w:num w:numId="39" w16cid:durableId="1756508485">
    <w:abstractNumId w:val="40"/>
  </w:num>
  <w:num w:numId="40" w16cid:durableId="1057122716">
    <w:abstractNumId w:val="38"/>
  </w:num>
  <w:num w:numId="41" w16cid:durableId="455178038">
    <w:abstractNumId w:val="23"/>
  </w:num>
  <w:num w:numId="42" w16cid:durableId="1063530160">
    <w:abstractNumId w:val="39"/>
  </w:num>
  <w:num w:numId="43" w16cid:durableId="1844540606">
    <w:abstractNumId w:val="32"/>
  </w:num>
  <w:num w:numId="44" w16cid:durableId="86980447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227"/>
    <w:rsid w:val="00001E32"/>
    <w:rsid w:val="00002F6B"/>
    <w:rsid w:val="00003320"/>
    <w:rsid w:val="00003696"/>
    <w:rsid w:val="00005184"/>
    <w:rsid w:val="00006424"/>
    <w:rsid w:val="00007FED"/>
    <w:rsid w:val="000100F5"/>
    <w:rsid w:val="000105F5"/>
    <w:rsid w:val="00011958"/>
    <w:rsid w:val="00011BD2"/>
    <w:rsid w:val="00011C85"/>
    <w:rsid w:val="0001223E"/>
    <w:rsid w:val="00012325"/>
    <w:rsid w:val="00012AA5"/>
    <w:rsid w:val="00013173"/>
    <w:rsid w:val="00013E48"/>
    <w:rsid w:val="0001444D"/>
    <w:rsid w:val="00015C7D"/>
    <w:rsid w:val="00016911"/>
    <w:rsid w:val="00016A1E"/>
    <w:rsid w:val="00020489"/>
    <w:rsid w:val="0002065F"/>
    <w:rsid w:val="00020D0B"/>
    <w:rsid w:val="000215DC"/>
    <w:rsid w:val="00023918"/>
    <w:rsid w:val="00025A61"/>
    <w:rsid w:val="00026596"/>
    <w:rsid w:val="000310D2"/>
    <w:rsid w:val="000312FA"/>
    <w:rsid w:val="00031F54"/>
    <w:rsid w:val="00033FA2"/>
    <w:rsid w:val="00035A1C"/>
    <w:rsid w:val="000379F1"/>
    <w:rsid w:val="00037AFB"/>
    <w:rsid w:val="0004029A"/>
    <w:rsid w:val="00040D6D"/>
    <w:rsid w:val="00042AC9"/>
    <w:rsid w:val="0004368F"/>
    <w:rsid w:val="00043E21"/>
    <w:rsid w:val="00044120"/>
    <w:rsid w:val="0004472F"/>
    <w:rsid w:val="00045217"/>
    <w:rsid w:val="0004565F"/>
    <w:rsid w:val="000459C8"/>
    <w:rsid w:val="00046841"/>
    <w:rsid w:val="000516CD"/>
    <w:rsid w:val="00054A9F"/>
    <w:rsid w:val="000555C2"/>
    <w:rsid w:val="000565AD"/>
    <w:rsid w:val="00057367"/>
    <w:rsid w:val="0006034E"/>
    <w:rsid w:val="00060886"/>
    <w:rsid w:val="000610E1"/>
    <w:rsid w:val="00066757"/>
    <w:rsid w:val="000668E4"/>
    <w:rsid w:val="00066FEB"/>
    <w:rsid w:val="00067F78"/>
    <w:rsid w:val="000706E4"/>
    <w:rsid w:val="00070FE4"/>
    <w:rsid w:val="00071459"/>
    <w:rsid w:val="00071F42"/>
    <w:rsid w:val="00072909"/>
    <w:rsid w:val="00073765"/>
    <w:rsid w:val="000752A4"/>
    <w:rsid w:val="000754DF"/>
    <w:rsid w:val="00075A19"/>
    <w:rsid w:val="00082673"/>
    <w:rsid w:val="000828E0"/>
    <w:rsid w:val="000834C0"/>
    <w:rsid w:val="00083615"/>
    <w:rsid w:val="0008472C"/>
    <w:rsid w:val="00084D2F"/>
    <w:rsid w:val="00085178"/>
    <w:rsid w:val="00085AAB"/>
    <w:rsid w:val="00086CCB"/>
    <w:rsid w:val="00091495"/>
    <w:rsid w:val="000946C7"/>
    <w:rsid w:val="00094A7B"/>
    <w:rsid w:val="000958CB"/>
    <w:rsid w:val="000963DC"/>
    <w:rsid w:val="00097187"/>
    <w:rsid w:val="00097694"/>
    <w:rsid w:val="000A1235"/>
    <w:rsid w:val="000A2321"/>
    <w:rsid w:val="000A322E"/>
    <w:rsid w:val="000A3435"/>
    <w:rsid w:val="000A598D"/>
    <w:rsid w:val="000A6AC7"/>
    <w:rsid w:val="000A7631"/>
    <w:rsid w:val="000B00A0"/>
    <w:rsid w:val="000B06A7"/>
    <w:rsid w:val="000B17D2"/>
    <w:rsid w:val="000B2D49"/>
    <w:rsid w:val="000B3134"/>
    <w:rsid w:val="000B435F"/>
    <w:rsid w:val="000B5F64"/>
    <w:rsid w:val="000B69F5"/>
    <w:rsid w:val="000B788F"/>
    <w:rsid w:val="000B7BE7"/>
    <w:rsid w:val="000C0641"/>
    <w:rsid w:val="000C0CB7"/>
    <w:rsid w:val="000C0F8F"/>
    <w:rsid w:val="000C12EF"/>
    <w:rsid w:val="000C2906"/>
    <w:rsid w:val="000C2A99"/>
    <w:rsid w:val="000C3AF6"/>
    <w:rsid w:val="000C4226"/>
    <w:rsid w:val="000C4462"/>
    <w:rsid w:val="000C71E7"/>
    <w:rsid w:val="000C7A37"/>
    <w:rsid w:val="000D1829"/>
    <w:rsid w:val="000D2E91"/>
    <w:rsid w:val="000D3074"/>
    <w:rsid w:val="000D3B96"/>
    <w:rsid w:val="000D5910"/>
    <w:rsid w:val="000D63DB"/>
    <w:rsid w:val="000D6ACF"/>
    <w:rsid w:val="000D79E3"/>
    <w:rsid w:val="000D7D6D"/>
    <w:rsid w:val="000E13D3"/>
    <w:rsid w:val="000E15A0"/>
    <w:rsid w:val="000E32EC"/>
    <w:rsid w:val="000E3980"/>
    <w:rsid w:val="000E531D"/>
    <w:rsid w:val="000E7080"/>
    <w:rsid w:val="000E7DAE"/>
    <w:rsid w:val="000F0750"/>
    <w:rsid w:val="000F1C22"/>
    <w:rsid w:val="000F3E40"/>
    <w:rsid w:val="000F3E9D"/>
    <w:rsid w:val="000F4A70"/>
    <w:rsid w:val="000F4F73"/>
    <w:rsid w:val="000F50BE"/>
    <w:rsid w:val="000F5939"/>
    <w:rsid w:val="000F5A5A"/>
    <w:rsid w:val="000F7571"/>
    <w:rsid w:val="00101C0A"/>
    <w:rsid w:val="00101E9E"/>
    <w:rsid w:val="00102598"/>
    <w:rsid w:val="00102D03"/>
    <w:rsid w:val="001030A3"/>
    <w:rsid w:val="001041D4"/>
    <w:rsid w:val="001051E6"/>
    <w:rsid w:val="00106FEA"/>
    <w:rsid w:val="00110641"/>
    <w:rsid w:val="00110AEA"/>
    <w:rsid w:val="00111EDE"/>
    <w:rsid w:val="00112A0C"/>
    <w:rsid w:val="00112A62"/>
    <w:rsid w:val="00113109"/>
    <w:rsid w:val="00113F4E"/>
    <w:rsid w:val="001144B1"/>
    <w:rsid w:val="00114C15"/>
    <w:rsid w:val="001161E4"/>
    <w:rsid w:val="00116EE6"/>
    <w:rsid w:val="001202AA"/>
    <w:rsid w:val="00121BB1"/>
    <w:rsid w:val="00121D99"/>
    <w:rsid w:val="00122567"/>
    <w:rsid w:val="00122ECF"/>
    <w:rsid w:val="00123FB0"/>
    <w:rsid w:val="00124C07"/>
    <w:rsid w:val="00124E35"/>
    <w:rsid w:val="001250F1"/>
    <w:rsid w:val="00125A26"/>
    <w:rsid w:val="00125CC8"/>
    <w:rsid w:val="00127A71"/>
    <w:rsid w:val="001312F3"/>
    <w:rsid w:val="00133D7B"/>
    <w:rsid w:val="00134E18"/>
    <w:rsid w:val="0013504A"/>
    <w:rsid w:val="001406EC"/>
    <w:rsid w:val="00141156"/>
    <w:rsid w:val="00141AFF"/>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07B"/>
    <w:rsid w:val="00153544"/>
    <w:rsid w:val="00154C50"/>
    <w:rsid w:val="00154E7B"/>
    <w:rsid w:val="001552BA"/>
    <w:rsid w:val="0015720F"/>
    <w:rsid w:val="00160D7E"/>
    <w:rsid w:val="00160E46"/>
    <w:rsid w:val="0016182E"/>
    <w:rsid w:val="00161B43"/>
    <w:rsid w:val="00163FAE"/>
    <w:rsid w:val="00164F36"/>
    <w:rsid w:val="00166741"/>
    <w:rsid w:val="00166DC3"/>
    <w:rsid w:val="00166FBC"/>
    <w:rsid w:val="00167DF5"/>
    <w:rsid w:val="00170981"/>
    <w:rsid w:val="00171283"/>
    <w:rsid w:val="00171498"/>
    <w:rsid w:val="00172301"/>
    <w:rsid w:val="001723FA"/>
    <w:rsid w:val="00173E57"/>
    <w:rsid w:val="001750AB"/>
    <w:rsid w:val="00177183"/>
    <w:rsid w:val="00177A4A"/>
    <w:rsid w:val="001807A9"/>
    <w:rsid w:val="00180F93"/>
    <w:rsid w:val="00180FFD"/>
    <w:rsid w:val="001810D3"/>
    <w:rsid w:val="00181C97"/>
    <w:rsid w:val="001826AC"/>
    <w:rsid w:val="00182CFD"/>
    <w:rsid w:val="00182D43"/>
    <w:rsid w:val="00184022"/>
    <w:rsid w:val="001840D2"/>
    <w:rsid w:val="00185282"/>
    <w:rsid w:val="00186234"/>
    <w:rsid w:val="00186B51"/>
    <w:rsid w:val="001909FD"/>
    <w:rsid w:val="00190FA4"/>
    <w:rsid w:val="00191134"/>
    <w:rsid w:val="00191F6A"/>
    <w:rsid w:val="0019273B"/>
    <w:rsid w:val="00194FAB"/>
    <w:rsid w:val="00195EBB"/>
    <w:rsid w:val="001966D7"/>
    <w:rsid w:val="00196CA4"/>
    <w:rsid w:val="001A0C83"/>
    <w:rsid w:val="001A100F"/>
    <w:rsid w:val="001B2C45"/>
    <w:rsid w:val="001B4053"/>
    <w:rsid w:val="001B4F66"/>
    <w:rsid w:val="001B5724"/>
    <w:rsid w:val="001C00B3"/>
    <w:rsid w:val="001C0D9A"/>
    <w:rsid w:val="001C383A"/>
    <w:rsid w:val="001C3CA6"/>
    <w:rsid w:val="001C3DC1"/>
    <w:rsid w:val="001C4383"/>
    <w:rsid w:val="001C4D2E"/>
    <w:rsid w:val="001C575C"/>
    <w:rsid w:val="001C63E7"/>
    <w:rsid w:val="001C7E35"/>
    <w:rsid w:val="001D0DBD"/>
    <w:rsid w:val="001D2165"/>
    <w:rsid w:val="001D23F5"/>
    <w:rsid w:val="001D283E"/>
    <w:rsid w:val="001D2E29"/>
    <w:rsid w:val="001D33D0"/>
    <w:rsid w:val="001D350E"/>
    <w:rsid w:val="001D4394"/>
    <w:rsid w:val="001D4C24"/>
    <w:rsid w:val="001D5B42"/>
    <w:rsid w:val="001D6B0F"/>
    <w:rsid w:val="001D6DFF"/>
    <w:rsid w:val="001D7C4C"/>
    <w:rsid w:val="001E03A5"/>
    <w:rsid w:val="001E0D5D"/>
    <w:rsid w:val="001E1689"/>
    <w:rsid w:val="001E3C06"/>
    <w:rsid w:val="001E3CF4"/>
    <w:rsid w:val="001E5845"/>
    <w:rsid w:val="001E615E"/>
    <w:rsid w:val="001E7C24"/>
    <w:rsid w:val="001F1C85"/>
    <w:rsid w:val="001F2295"/>
    <w:rsid w:val="001F3E07"/>
    <w:rsid w:val="001F4763"/>
    <w:rsid w:val="001F796B"/>
    <w:rsid w:val="00201566"/>
    <w:rsid w:val="00202D79"/>
    <w:rsid w:val="002043AD"/>
    <w:rsid w:val="002047F7"/>
    <w:rsid w:val="00204B37"/>
    <w:rsid w:val="002051F3"/>
    <w:rsid w:val="00205D2C"/>
    <w:rsid w:val="0020662A"/>
    <w:rsid w:val="0021047D"/>
    <w:rsid w:val="002115A2"/>
    <w:rsid w:val="00211B25"/>
    <w:rsid w:val="002123E5"/>
    <w:rsid w:val="00212695"/>
    <w:rsid w:val="002129C2"/>
    <w:rsid w:val="00212FFE"/>
    <w:rsid w:val="002145AD"/>
    <w:rsid w:val="00215E8F"/>
    <w:rsid w:val="00221058"/>
    <w:rsid w:val="00221522"/>
    <w:rsid w:val="00224B3E"/>
    <w:rsid w:val="0022554D"/>
    <w:rsid w:val="00225964"/>
    <w:rsid w:val="00225BA3"/>
    <w:rsid w:val="002264E3"/>
    <w:rsid w:val="00226A43"/>
    <w:rsid w:val="00230AB6"/>
    <w:rsid w:val="00231B24"/>
    <w:rsid w:val="00231D08"/>
    <w:rsid w:val="0023391F"/>
    <w:rsid w:val="00234180"/>
    <w:rsid w:val="002343BC"/>
    <w:rsid w:val="00234674"/>
    <w:rsid w:val="00234DB6"/>
    <w:rsid w:val="00234E6B"/>
    <w:rsid w:val="002351B6"/>
    <w:rsid w:val="002353F5"/>
    <w:rsid w:val="0023552D"/>
    <w:rsid w:val="00235E57"/>
    <w:rsid w:val="00237044"/>
    <w:rsid w:val="00237CA1"/>
    <w:rsid w:val="002414F1"/>
    <w:rsid w:val="0024296E"/>
    <w:rsid w:val="00245EDD"/>
    <w:rsid w:val="00245EEF"/>
    <w:rsid w:val="00247339"/>
    <w:rsid w:val="002507B5"/>
    <w:rsid w:val="00252225"/>
    <w:rsid w:val="0025240B"/>
    <w:rsid w:val="002541ED"/>
    <w:rsid w:val="002548D1"/>
    <w:rsid w:val="00254FDA"/>
    <w:rsid w:val="002551AE"/>
    <w:rsid w:val="0025537D"/>
    <w:rsid w:val="00255446"/>
    <w:rsid w:val="00255BC0"/>
    <w:rsid w:val="00256606"/>
    <w:rsid w:val="00260D08"/>
    <w:rsid w:val="002623B1"/>
    <w:rsid w:val="0026291B"/>
    <w:rsid w:val="00263BBD"/>
    <w:rsid w:val="00264AAF"/>
    <w:rsid w:val="0026649D"/>
    <w:rsid w:val="00267D1C"/>
    <w:rsid w:val="00267E72"/>
    <w:rsid w:val="00270AF9"/>
    <w:rsid w:val="0027141B"/>
    <w:rsid w:val="0027344C"/>
    <w:rsid w:val="0027352C"/>
    <w:rsid w:val="00275794"/>
    <w:rsid w:val="00276B1D"/>
    <w:rsid w:val="0027713D"/>
    <w:rsid w:val="0028019B"/>
    <w:rsid w:val="0028084B"/>
    <w:rsid w:val="00282384"/>
    <w:rsid w:val="0028361A"/>
    <w:rsid w:val="00284F14"/>
    <w:rsid w:val="00286372"/>
    <w:rsid w:val="002870DF"/>
    <w:rsid w:val="00287DC8"/>
    <w:rsid w:val="00291CBF"/>
    <w:rsid w:val="002929B2"/>
    <w:rsid w:val="00295881"/>
    <w:rsid w:val="002961F4"/>
    <w:rsid w:val="002A0F90"/>
    <w:rsid w:val="002A2391"/>
    <w:rsid w:val="002A2C4B"/>
    <w:rsid w:val="002A399A"/>
    <w:rsid w:val="002A4543"/>
    <w:rsid w:val="002A5018"/>
    <w:rsid w:val="002A6144"/>
    <w:rsid w:val="002A6160"/>
    <w:rsid w:val="002A676A"/>
    <w:rsid w:val="002A7443"/>
    <w:rsid w:val="002B00AD"/>
    <w:rsid w:val="002B0526"/>
    <w:rsid w:val="002B3253"/>
    <w:rsid w:val="002B3829"/>
    <w:rsid w:val="002B605E"/>
    <w:rsid w:val="002B6A9B"/>
    <w:rsid w:val="002B6CF1"/>
    <w:rsid w:val="002B757F"/>
    <w:rsid w:val="002B7725"/>
    <w:rsid w:val="002B79D9"/>
    <w:rsid w:val="002C0934"/>
    <w:rsid w:val="002C1A2D"/>
    <w:rsid w:val="002C2FDE"/>
    <w:rsid w:val="002C3EF2"/>
    <w:rsid w:val="002C6801"/>
    <w:rsid w:val="002C7B7A"/>
    <w:rsid w:val="002D0B46"/>
    <w:rsid w:val="002D19E9"/>
    <w:rsid w:val="002D1DE7"/>
    <w:rsid w:val="002D1E0D"/>
    <w:rsid w:val="002D1F25"/>
    <w:rsid w:val="002D369B"/>
    <w:rsid w:val="002D4304"/>
    <w:rsid w:val="002D4A96"/>
    <w:rsid w:val="002D4DE6"/>
    <w:rsid w:val="002E0285"/>
    <w:rsid w:val="002E0BD1"/>
    <w:rsid w:val="002E0DE1"/>
    <w:rsid w:val="002E17D6"/>
    <w:rsid w:val="002E2FD9"/>
    <w:rsid w:val="002E3363"/>
    <w:rsid w:val="002E4C57"/>
    <w:rsid w:val="002E50B6"/>
    <w:rsid w:val="002E55D8"/>
    <w:rsid w:val="002E5CA8"/>
    <w:rsid w:val="002E68F4"/>
    <w:rsid w:val="002E6AC5"/>
    <w:rsid w:val="002F0B77"/>
    <w:rsid w:val="002F14FC"/>
    <w:rsid w:val="002F217B"/>
    <w:rsid w:val="002F3AF2"/>
    <w:rsid w:val="002F3EE9"/>
    <w:rsid w:val="002F4775"/>
    <w:rsid w:val="002F5E64"/>
    <w:rsid w:val="002F6F95"/>
    <w:rsid w:val="002F7C1F"/>
    <w:rsid w:val="00301D79"/>
    <w:rsid w:val="003022B9"/>
    <w:rsid w:val="0030386E"/>
    <w:rsid w:val="003051FA"/>
    <w:rsid w:val="00306C40"/>
    <w:rsid w:val="00306D51"/>
    <w:rsid w:val="0030716C"/>
    <w:rsid w:val="00307A8D"/>
    <w:rsid w:val="00307B6C"/>
    <w:rsid w:val="003102A5"/>
    <w:rsid w:val="0031095E"/>
    <w:rsid w:val="003110A4"/>
    <w:rsid w:val="00311779"/>
    <w:rsid w:val="00311A4E"/>
    <w:rsid w:val="00312B8A"/>
    <w:rsid w:val="00317438"/>
    <w:rsid w:val="003208B3"/>
    <w:rsid w:val="0032280D"/>
    <w:rsid w:val="003228B9"/>
    <w:rsid w:val="00324804"/>
    <w:rsid w:val="00326245"/>
    <w:rsid w:val="003271BC"/>
    <w:rsid w:val="00330FF9"/>
    <w:rsid w:val="00332F49"/>
    <w:rsid w:val="00333FAA"/>
    <w:rsid w:val="0033463A"/>
    <w:rsid w:val="00337357"/>
    <w:rsid w:val="00340CE2"/>
    <w:rsid w:val="00341B65"/>
    <w:rsid w:val="00341B97"/>
    <w:rsid w:val="003421FC"/>
    <w:rsid w:val="00342681"/>
    <w:rsid w:val="00342986"/>
    <w:rsid w:val="00343886"/>
    <w:rsid w:val="00346624"/>
    <w:rsid w:val="0034662E"/>
    <w:rsid w:val="003468E3"/>
    <w:rsid w:val="00346912"/>
    <w:rsid w:val="003469E4"/>
    <w:rsid w:val="00347482"/>
    <w:rsid w:val="0034759A"/>
    <w:rsid w:val="00350508"/>
    <w:rsid w:val="003506DE"/>
    <w:rsid w:val="0035096C"/>
    <w:rsid w:val="00350986"/>
    <w:rsid w:val="00350CD4"/>
    <w:rsid w:val="0035234C"/>
    <w:rsid w:val="00353F84"/>
    <w:rsid w:val="003549C8"/>
    <w:rsid w:val="00355AF0"/>
    <w:rsid w:val="0035602E"/>
    <w:rsid w:val="003560BB"/>
    <w:rsid w:val="00356274"/>
    <w:rsid w:val="0035734A"/>
    <w:rsid w:val="00361F2D"/>
    <w:rsid w:val="0036563F"/>
    <w:rsid w:val="00366537"/>
    <w:rsid w:val="00366999"/>
    <w:rsid w:val="00373F55"/>
    <w:rsid w:val="003744A1"/>
    <w:rsid w:val="0037469A"/>
    <w:rsid w:val="003746AE"/>
    <w:rsid w:val="00375952"/>
    <w:rsid w:val="00375C04"/>
    <w:rsid w:val="00376B16"/>
    <w:rsid w:val="00380668"/>
    <w:rsid w:val="00382003"/>
    <w:rsid w:val="00382B0A"/>
    <w:rsid w:val="00383A64"/>
    <w:rsid w:val="00384308"/>
    <w:rsid w:val="00384627"/>
    <w:rsid w:val="00385615"/>
    <w:rsid w:val="00385FA8"/>
    <w:rsid w:val="003872A6"/>
    <w:rsid w:val="00387B75"/>
    <w:rsid w:val="00390097"/>
    <w:rsid w:val="0039076D"/>
    <w:rsid w:val="00390950"/>
    <w:rsid w:val="003917CB"/>
    <w:rsid w:val="00391C2A"/>
    <w:rsid w:val="003936AC"/>
    <w:rsid w:val="00393729"/>
    <w:rsid w:val="00393F5F"/>
    <w:rsid w:val="003940E5"/>
    <w:rsid w:val="00394EBE"/>
    <w:rsid w:val="00395F5B"/>
    <w:rsid w:val="00396489"/>
    <w:rsid w:val="003975E1"/>
    <w:rsid w:val="003A0781"/>
    <w:rsid w:val="003A1603"/>
    <w:rsid w:val="003A1FDE"/>
    <w:rsid w:val="003A33DE"/>
    <w:rsid w:val="003A6088"/>
    <w:rsid w:val="003A6B35"/>
    <w:rsid w:val="003A7024"/>
    <w:rsid w:val="003B06B4"/>
    <w:rsid w:val="003B0817"/>
    <w:rsid w:val="003B12BA"/>
    <w:rsid w:val="003B1A11"/>
    <w:rsid w:val="003B2CA8"/>
    <w:rsid w:val="003B2FA8"/>
    <w:rsid w:val="003B339F"/>
    <w:rsid w:val="003B37DA"/>
    <w:rsid w:val="003B4858"/>
    <w:rsid w:val="003B506E"/>
    <w:rsid w:val="003B56C5"/>
    <w:rsid w:val="003B5CE7"/>
    <w:rsid w:val="003B5D57"/>
    <w:rsid w:val="003B6AC8"/>
    <w:rsid w:val="003B70D6"/>
    <w:rsid w:val="003C138E"/>
    <w:rsid w:val="003C1E55"/>
    <w:rsid w:val="003C1E73"/>
    <w:rsid w:val="003C40BA"/>
    <w:rsid w:val="003C4203"/>
    <w:rsid w:val="003C497A"/>
    <w:rsid w:val="003C49F4"/>
    <w:rsid w:val="003C5559"/>
    <w:rsid w:val="003C57D8"/>
    <w:rsid w:val="003C71F1"/>
    <w:rsid w:val="003D1D98"/>
    <w:rsid w:val="003D412C"/>
    <w:rsid w:val="003D629F"/>
    <w:rsid w:val="003D7292"/>
    <w:rsid w:val="003D741B"/>
    <w:rsid w:val="003E1C73"/>
    <w:rsid w:val="003E3ED1"/>
    <w:rsid w:val="003E42F4"/>
    <w:rsid w:val="003E6EDA"/>
    <w:rsid w:val="003E7882"/>
    <w:rsid w:val="003F0D93"/>
    <w:rsid w:val="003F0E12"/>
    <w:rsid w:val="003F191A"/>
    <w:rsid w:val="003F197E"/>
    <w:rsid w:val="003F21E4"/>
    <w:rsid w:val="003F4D08"/>
    <w:rsid w:val="003F530E"/>
    <w:rsid w:val="003F59F4"/>
    <w:rsid w:val="004000F3"/>
    <w:rsid w:val="004011DB"/>
    <w:rsid w:val="004028B2"/>
    <w:rsid w:val="00402DB1"/>
    <w:rsid w:val="0040394F"/>
    <w:rsid w:val="00405447"/>
    <w:rsid w:val="0040607D"/>
    <w:rsid w:val="0040611D"/>
    <w:rsid w:val="00410BC1"/>
    <w:rsid w:val="0041197F"/>
    <w:rsid w:val="00413F89"/>
    <w:rsid w:val="00415476"/>
    <w:rsid w:val="00416F32"/>
    <w:rsid w:val="0041764D"/>
    <w:rsid w:val="004177FA"/>
    <w:rsid w:val="004203E3"/>
    <w:rsid w:val="00420C52"/>
    <w:rsid w:val="00422632"/>
    <w:rsid w:val="00424EC1"/>
    <w:rsid w:val="00426667"/>
    <w:rsid w:val="004267BE"/>
    <w:rsid w:val="00426B0E"/>
    <w:rsid w:val="00427DAD"/>
    <w:rsid w:val="00430256"/>
    <w:rsid w:val="00431198"/>
    <w:rsid w:val="00431A91"/>
    <w:rsid w:val="00432C8E"/>
    <w:rsid w:val="00432E63"/>
    <w:rsid w:val="00435D4A"/>
    <w:rsid w:val="004361E8"/>
    <w:rsid w:val="004363F7"/>
    <w:rsid w:val="0043727E"/>
    <w:rsid w:val="00437702"/>
    <w:rsid w:val="00437BF4"/>
    <w:rsid w:val="00440160"/>
    <w:rsid w:val="00440BC5"/>
    <w:rsid w:val="0044232C"/>
    <w:rsid w:val="0044280F"/>
    <w:rsid w:val="00444D72"/>
    <w:rsid w:val="00445B14"/>
    <w:rsid w:val="0044631D"/>
    <w:rsid w:val="0044643D"/>
    <w:rsid w:val="00447FCE"/>
    <w:rsid w:val="00447FD6"/>
    <w:rsid w:val="00450125"/>
    <w:rsid w:val="00450DD4"/>
    <w:rsid w:val="0045146D"/>
    <w:rsid w:val="0045296A"/>
    <w:rsid w:val="0045458F"/>
    <w:rsid w:val="004554FD"/>
    <w:rsid w:val="00455748"/>
    <w:rsid w:val="004560F8"/>
    <w:rsid w:val="00456BA2"/>
    <w:rsid w:val="004604EB"/>
    <w:rsid w:val="00460B39"/>
    <w:rsid w:val="00460C39"/>
    <w:rsid w:val="004610F8"/>
    <w:rsid w:val="004621BF"/>
    <w:rsid w:val="00463642"/>
    <w:rsid w:val="00463AC0"/>
    <w:rsid w:val="00464E00"/>
    <w:rsid w:val="00465116"/>
    <w:rsid w:val="00465EA7"/>
    <w:rsid w:val="00466094"/>
    <w:rsid w:val="0046793A"/>
    <w:rsid w:val="0046798E"/>
    <w:rsid w:val="00471C1F"/>
    <w:rsid w:val="004726CC"/>
    <w:rsid w:val="00473551"/>
    <w:rsid w:val="004755E0"/>
    <w:rsid w:val="00475BD3"/>
    <w:rsid w:val="00476638"/>
    <w:rsid w:val="00482163"/>
    <w:rsid w:val="004824B4"/>
    <w:rsid w:val="004838C0"/>
    <w:rsid w:val="00483A39"/>
    <w:rsid w:val="00484116"/>
    <w:rsid w:val="00484633"/>
    <w:rsid w:val="004846D1"/>
    <w:rsid w:val="00484A32"/>
    <w:rsid w:val="00484BE9"/>
    <w:rsid w:val="0048537C"/>
    <w:rsid w:val="00485E65"/>
    <w:rsid w:val="00486EAE"/>
    <w:rsid w:val="00487368"/>
    <w:rsid w:val="00487B58"/>
    <w:rsid w:val="00490667"/>
    <w:rsid w:val="004908C8"/>
    <w:rsid w:val="0049262D"/>
    <w:rsid w:val="00493049"/>
    <w:rsid w:val="0049372D"/>
    <w:rsid w:val="00493931"/>
    <w:rsid w:val="00493C07"/>
    <w:rsid w:val="0049566F"/>
    <w:rsid w:val="004963A3"/>
    <w:rsid w:val="00497421"/>
    <w:rsid w:val="004A047D"/>
    <w:rsid w:val="004A0F27"/>
    <w:rsid w:val="004A1F23"/>
    <w:rsid w:val="004A2099"/>
    <w:rsid w:val="004A2FBF"/>
    <w:rsid w:val="004A5856"/>
    <w:rsid w:val="004A586A"/>
    <w:rsid w:val="004A72D6"/>
    <w:rsid w:val="004B0A08"/>
    <w:rsid w:val="004B1B84"/>
    <w:rsid w:val="004B5ADB"/>
    <w:rsid w:val="004B6F5C"/>
    <w:rsid w:val="004B7477"/>
    <w:rsid w:val="004B7FED"/>
    <w:rsid w:val="004C08EA"/>
    <w:rsid w:val="004C0B8E"/>
    <w:rsid w:val="004C1CD7"/>
    <w:rsid w:val="004C24B8"/>
    <w:rsid w:val="004C3721"/>
    <w:rsid w:val="004C4007"/>
    <w:rsid w:val="004C4321"/>
    <w:rsid w:val="004C5E49"/>
    <w:rsid w:val="004C76A5"/>
    <w:rsid w:val="004D02FC"/>
    <w:rsid w:val="004D08A1"/>
    <w:rsid w:val="004D1B5A"/>
    <w:rsid w:val="004D2DA0"/>
    <w:rsid w:val="004D483D"/>
    <w:rsid w:val="004D5125"/>
    <w:rsid w:val="004D5CA3"/>
    <w:rsid w:val="004D628B"/>
    <w:rsid w:val="004D6464"/>
    <w:rsid w:val="004D6A4C"/>
    <w:rsid w:val="004D71D2"/>
    <w:rsid w:val="004D7A24"/>
    <w:rsid w:val="004E45D6"/>
    <w:rsid w:val="004E4D6C"/>
    <w:rsid w:val="004E54AA"/>
    <w:rsid w:val="004E6242"/>
    <w:rsid w:val="004E6F66"/>
    <w:rsid w:val="004E7EFA"/>
    <w:rsid w:val="004F0ABE"/>
    <w:rsid w:val="004F0BBD"/>
    <w:rsid w:val="004F1307"/>
    <w:rsid w:val="004F2F6C"/>
    <w:rsid w:val="004F38DB"/>
    <w:rsid w:val="004F4B7F"/>
    <w:rsid w:val="0050319B"/>
    <w:rsid w:val="0050393F"/>
    <w:rsid w:val="00504649"/>
    <w:rsid w:val="00504C71"/>
    <w:rsid w:val="00511678"/>
    <w:rsid w:val="00513626"/>
    <w:rsid w:val="00513B81"/>
    <w:rsid w:val="00513CCA"/>
    <w:rsid w:val="00514FC4"/>
    <w:rsid w:val="005228CB"/>
    <w:rsid w:val="0052407C"/>
    <w:rsid w:val="005254CD"/>
    <w:rsid w:val="0052550D"/>
    <w:rsid w:val="005275C4"/>
    <w:rsid w:val="00530962"/>
    <w:rsid w:val="00530997"/>
    <w:rsid w:val="00531BF7"/>
    <w:rsid w:val="00534787"/>
    <w:rsid w:val="00535CB0"/>
    <w:rsid w:val="00537209"/>
    <w:rsid w:val="00537428"/>
    <w:rsid w:val="00537A74"/>
    <w:rsid w:val="00537D89"/>
    <w:rsid w:val="00537E00"/>
    <w:rsid w:val="00541D5A"/>
    <w:rsid w:val="00542263"/>
    <w:rsid w:val="005434A1"/>
    <w:rsid w:val="00544C2E"/>
    <w:rsid w:val="00544CE1"/>
    <w:rsid w:val="0054590F"/>
    <w:rsid w:val="00545D38"/>
    <w:rsid w:val="00545DF3"/>
    <w:rsid w:val="005466DC"/>
    <w:rsid w:val="00546764"/>
    <w:rsid w:val="00546E65"/>
    <w:rsid w:val="00546ECF"/>
    <w:rsid w:val="00546F0C"/>
    <w:rsid w:val="005475C4"/>
    <w:rsid w:val="00547E3A"/>
    <w:rsid w:val="0055378F"/>
    <w:rsid w:val="00553E90"/>
    <w:rsid w:val="00556089"/>
    <w:rsid w:val="005601A3"/>
    <w:rsid w:val="00560365"/>
    <w:rsid w:val="00560EB4"/>
    <w:rsid w:val="00561BD3"/>
    <w:rsid w:val="0056364D"/>
    <w:rsid w:val="00564053"/>
    <w:rsid w:val="00571037"/>
    <w:rsid w:val="00571C9C"/>
    <w:rsid w:val="00572CF0"/>
    <w:rsid w:val="00573BA6"/>
    <w:rsid w:val="005748D7"/>
    <w:rsid w:val="00574C67"/>
    <w:rsid w:val="0057531E"/>
    <w:rsid w:val="0057766F"/>
    <w:rsid w:val="005808FB"/>
    <w:rsid w:val="005836EA"/>
    <w:rsid w:val="005869D1"/>
    <w:rsid w:val="00587A40"/>
    <w:rsid w:val="0059055D"/>
    <w:rsid w:val="00590BAA"/>
    <w:rsid w:val="00591030"/>
    <w:rsid w:val="00591720"/>
    <w:rsid w:val="0059285E"/>
    <w:rsid w:val="00592F21"/>
    <w:rsid w:val="005937E7"/>
    <w:rsid w:val="00597D12"/>
    <w:rsid w:val="005A0A36"/>
    <w:rsid w:val="005A0B7D"/>
    <w:rsid w:val="005A130A"/>
    <w:rsid w:val="005A1A30"/>
    <w:rsid w:val="005A243F"/>
    <w:rsid w:val="005A2658"/>
    <w:rsid w:val="005A2999"/>
    <w:rsid w:val="005A2B5C"/>
    <w:rsid w:val="005A5850"/>
    <w:rsid w:val="005A5D88"/>
    <w:rsid w:val="005A6672"/>
    <w:rsid w:val="005B015D"/>
    <w:rsid w:val="005B0B3E"/>
    <w:rsid w:val="005B0BD6"/>
    <w:rsid w:val="005B1622"/>
    <w:rsid w:val="005B4E83"/>
    <w:rsid w:val="005B52E4"/>
    <w:rsid w:val="005B5B9B"/>
    <w:rsid w:val="005B6187"/>
    <w:rsid w:val="005B6A13"/>
    <w:rsid w:val="005B7885"/>
    <w:rsid w:val="005C1153"/>
    <w:rsid w:val="005C152A"/>
    <w:rsid w:val="005C2EF8"/>
    <w:rsid w:val="005C38C5"/>
    <w:rsid w:val="005C4CBA"/>
    <w:rsid w:val="005C52F4"/>
    <w:rsid w:val="005C579D"/>
    <w:rsid w:val="005C5F2A"/>
    <w:rsid w:val="005C6F86"/>
    <w:rsid w:val="005C7490"/>
    <w:rsid w:val="005C7C20"/>
    <w:rsid w:val="005C7C99"/>
    <w:rsid w:val="005C7E0A"/>
    <w:rsid w:val="005D147F"/>
    <w:rsid w:val="005D15D9"/>
    <w:rsid w:val="005D36D2"/>
    <w:rsid w:val="005D52EC"/>
    <w:rsid w:val="005D6DB2"/>
    <w:rsid w:val="005D7BDD"/>
    <w:rsid w:val="005E0E07"/>
    <w:rsid w:val="005E184C"/>
    <w:rsid w:val="005E1862"/>
    <w:rsid w:val="005E22B5"/>
    <w:rsid w:val="005E2F5E"/>
    <w:rsid w:val="005E3A10"/>
    <w:rsid w:val="005E425F"/>
    <w:rsid w:val="005E5AD4"/>
    <w:rsid w:val="005E71FA"/>
    <w:rsid w:val="005E7509"/>
    <w:rsid w:val="005F0065"/>
    <w:rsid w:val="005F1A56"/>
    <w:rsid w:val="005F2F2B"/>
    <w:rsid w:val="005F7516"/>
    <w:rsid w:val="00602C1C"/>
    <w:rsid w:val="0060362B"/>
    <w:rsid w:val="00603ECC"/>
    <w:rsid w:val="006048EA"/>
    <w:rsid w:val="00606A6B"/>
    <w:rsid w:val="0060726D"/>
    <w:rsid w:val="0060797A"/>
    <w:rsid w:val="00612971"/>
    <w:rsid w:val="006130D8"/>
    <w:rsid w:val="00613651"/>
    <w:rsid w:val="00615C75"/>
    <w:rsid w:val="006162E8"/>
    <w:rsid w:val="0062039F"/>
    <w:rsid w:val="006203E7"/>
    <w:rsid w:val="0062081D"/>
    <w:rsid w:val="00620D84"/>
    <w:rsid w:val="00624FDB"/>
    <w:rsid w:val="00627E34"/>
    <w:rsid w:val="00627FE5"/>
    <w:rsid w:val="00633E7C"/>
    <w:rsid w:val="00635F97"/>
    <w:rsid w:val="00636581"/>
    <w:rsid w:val="00637603"/>
    <w:rsid w:val="006405E1"/>
    <w:rsid w:val="0064246B"/>
    <w:rsid w:val="00644682"/>
    <w:rsid w:val="00644F74"/>
    <w:rsid w:val="006521C4"/>
    <w:rsid w:val="00653D88"/>
    <w:rsid w:val="00655044"/>
    <w:rsid w:val="006565F9"/>
    <w:rsid w:val="006569A2"/>
    <w:rsid w:val="00657C78"/>
    <w:rsid w:val="00660C93"/>
    <w:rsid w:val="00663179"/>
    <w:rsid w:val="00663D65"/>
    <w:rsid w:val="0066540F"/>
    <w:rsid w:val="0066634D"/>
    <w:rsid w:val="006677E8"/>
    <w:rsid w:val="006715C1"/>
    <w:rsid w:val="00674019"/>
    <w:rsid w:val="006744C7"/>
    <w:rsid w:val="00675442"/>
    <w:rsid w:val="006768EB"/>
    <w:rsid w:val="00680531"/>
    <w:rsid w:val="00680B7A"/>
    <w:rsid w:val="00682C00"/>
    <w:rsid w:val="00683214"/>
    <w:rsid w:val="006837D3"/>
    <w:rsid w:val="0068413B"/>
    <w:rsid w:val="00684D91"/>
    <w:rsid w:val="006859D8"/>
    <w:rsid w:val="00686815"/>
    <w:rsid w:val="00687963"/>
    <w:rsid w:val="006901AF"/>
    <w:rsid w:val="0069137E"/>
    <w:rsid w:val="00691995"/>
    <w:rsid w:val="00691FF9"/>
    <w:rsid w:val="00692162"/>
    <w:rsid w:val="00692662"/>
    <w:rsid w:val="0069288A"/>
    <w:rsid w:val="00695E9D"/>
    <w:rsid w:val="00695F8F"/>
    <w:rsid w:val="00695FDA"/>
    <w:rsid w:val="00696A83"/>
    <w:rsid w:val="00697CD1"/>
    <w:rsid w:val="006A007B"/>
    <w:rsid w:val="006A16AE"/>
    <w:rsid w:val="006A17B9"/>
    <w:rsid w:val="006A377C"/>
    <w:rsid w:val="006A3BAD"/>
    <w:rsid w:val="006A6073"/>
    <w:rsid w:val="006A6530"/>
    <w:rsid w:val="006A73FD"/>
    <w:rsid w:val="006A7B1B"/>
    <w:rsid w:val="006B1A1D"/>
    <w:rsid w:val="006B3A43"/>
    <w:rsid w:val="006B3D86"/>
    <w:rsid w:val="006B54AD"/>
    <w:rsid w:val="006B77AF"/>
    <w:rsid w:val="006B77BA"/>
    <w:rsid w:val="006C0104"/>
    <w:rsid w:val="006C181F"/>
    <w:rsid w:val="006C355E"/>
    <w:rsid w:val="006C4573"/>
    <w:rsid w:val="006C47F1"/>
    <w:rsid w:val="006C519D"/>
    <w:rsid w:val="006C5534"/>
    <w:rsid w:val="006C5877"/>
    <w:rsid w:val="006C5F36"/>
    <w:rsid w:val="006C6C01"/>
    <w:rsid w:val="006C75F9"/>
    <w:rsid w:val="006D0D1C"/>
    <w:rsid w:val="006D1E83"/>
    <w:rsid w:val="006D372D"/>
    <w:rsid w:val="006D39C0"/>
    <w:rsid w:val="006D4446"/>
    <w:rsid w:val="006D4FDD"/>
    <w:rsid w:val="006D5DBB"/>
    <w:rsid w:val="006D72BF"/>
    <w:rsid w:val="006D7554"/>
    <w:rsid w:val="006D7B5B"/>
    <w:rsid w:val="006E060D"/>
    <w:rsid w:val="006E0FCF"/>
    <w:rsid w:val="006E1372"/>
    <w:rsid w:val="006E15D8"/>
    <w:rsid w:val="006E20FA"/>
    <w:rsid w:val="006E3304"/>
    <w:rsid w:val="006E5EFA"/>
    <w:rsid w:val="006F057C"/>
    <w:rsid w:val="006F0702"/>
    <w:rsid w:val="006F26FA"/>
    <w:rsid w:val="006F48A9"/>
    <w:rsid w:val="006F50AF"/>
    <w:rsid w:val="006F7A61"/>
    <w:rsid w:val="006F7D51"/>
    <w:rsid w:val="00700807"/>
    <w:rsid w:val="00701100"/>
    <w:rsid w:val="007021F3"/>
    <w:rsid w:val="00703088"/>
    <w:rsid w:val="00703272"/>
    <w:rsid w:val="0070337D"/>
    <w:rsid w:val="0070362F"/>
    <w:rsid w:val="00703A7C"/>
    <w:rsid w:val="00705086"/>
    <w:rsid w:val="00705302"/>
    <w:rsid w:val="007100FF"/>
    <w:rsid w:val="00710DEF"/>
    <w:rsid w:val="00710E45"/>
    <w:rsid w:val="00711131"/>
    <w:rsid w:val="007111FD"/>
    <w:rsid w:val="00712978"/>
    <w:rsid w:val="00712FEC"/>
    <w:rsid w:val="00714102"/>
    <w:rsid w:val="00714BEE"/>
    <w:rsid w:val="00715CAD"/>
    <w:rsid w:val="007168A0"/>
    <w:rsid w:val="00716EAF"/>
    <w:rsid w:val="00717CF8"/>
    <w:rsid w:val="00720941"/>
    <w:rsid w:val="00721215"/>
    <w:rsid w:val="007218EF"/>
    <w:rsid w:val="00723052"/>
    <w:rsid w:val="00723B69"/>
    <w:rsid w:val="007246D1"/>
    <w:rsid w:val="00724CFA"/>
    <w:rsid w:val="007261EE"/>
    <w:rsid w:val="007270EC"/>
    <w:rsid w:val="007278DF"/>
    <w:rsid w:val="00734BF8"/>
    <w:rsid w:val="00735932"/>
    <w:rsid w:val="00735D19"/>
    <w:rsid w:val="00740616"/>
    <w:rsid w:val="00741702"/>
    <w:rsid w:val="00741B76"/>
    <w:rsid w:val="007436F7"/>
    <w:rsid w:val="00744D66"/>
    <w:rsid w:val="007451CF"/>
    <w:rsid w:val="007453C8"/>
    <w:rsid w:val="0074636A"/>
    <w:rsid w:val="00746783"/>
    <w:rsid w:val="00746FE8"/>
    <w:rsid w:val="00747627"/>
    <w:rsid w:val="0075040B"/>
    <w:rsid w:val="00750556"/>
    <w:rsid w:val="007513A8"/>
    <w:rsid w:val="00751544"/>
    <w:rsid w:val="007532C7"/>
    <w:rsid w:val="00753BC5"/>
    <w:rsid w:val="00753C8C"/>
    <w:rsid w:val="00756A83"/>
    <w:rsid w:val="00757C2D"/>
    <w:rsid w:val="00760D23"/>
    <w:rsid w:val="007613C1"/>
    <w:rsid w:val="00761D1D"/>
    <w:rsid w:val="00762553"/>
    <w:rsid w:val="007628FB"/>
    <w:rsid w:val="00765024"/>
    <w:rsid w:val="00765CC7"/>
    <w:rsid w:val="007665AA"/>
    <w:rsid w:val="00767864"/>
    <w:rsid w:val="00770CB7"/>
    <w:rsid w:val="007711FD"/>
    <w:rsid w:val="00775987"/>
    <w:rsid w:val="007771D5"/>
    <w:rsid w:val="00777D8C"/>
    <w:rsid w:val="007820DD"/>
    <w:rsid w:val="007822A5"/>
    <w:rsid w:val="0078297E"/>
    <w:rsid w:val="00784E61"/>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03C6"/>
    <w:rsid w:val="007B22DB"/>
    <w:rsid w:val="007B2987"/>
    <w:rsid w:val="007B73F4"/>
    <w:rsid w:val="007B7635"/>
    <w:rsid w:val="007C14A0"/>
    <w:rsid w:val="007C33FE"/>
    <w:rsid w:val="007C348F"/>
    <w:rsid w:val="007C3E0A"/>
    <w:rsid w:val="007C565F"/>
    <w:rsid w:val="007C6104"/>
    <w:rsid w:val="007C67D0"/>
    <w:rsid w:val="007D159D"/>
    <w:rsid w:val="007D186F"/>
    <w:rsid w:val="007D4DBF"/>
    <w:rsid w:val="007D505E"/>
    <w:rsid w:val="007D50A8"/>
    <w:rsid w:val="007D559E"/>
    <w:rsid w:val="007D5937"/>
    <w:rsid w:val="007D5CC5"/>
    <w:rsid w:val="007E0324"/>
    <w:rsid w:val="007E0F0C"/>
    <w:rsid w:val="007E2EFA"/>
    <w:rsid w:val="007E2F7F"/>
    <w:rsid w:val="007E3D53"/>
    <w:rsid w:val="007E3E4D"/>
    <w:rsid w:val="007E3F0E"/>
    <w:rsid w:val="007E43D7"/>
    <w:rsid w:val="007E4732"/>
    <w:rsid w:val="007E5266"/>
    <w:rsid w:val="007E628C"/>
    <w:rsid w:val="007E6D4E"/>
    <w:rsid w:val="007F004E"/>
    <w:rsid w:val="007F0730"/>
    <w:rsid w:val="007F17EB"/>
    <w:rsid w:val="007F1812"/>
    <w:rsid w:val="007F2FF6"/>
    <w:rsid w:val="007F40A6"/>
    <w:rsid w:val="007F41F1"/>
    <w:rsid w:val="007F4282"/>
    <w:rsid w:val="007F5ABF"/>
    <w:rsid w:val="007F6308"/>
    <w:rsid w:val="007F7054"/>
    <w:rsid w:val="007F7F18"/>
    <w:rsid w:val="0080031E"/>
    <w:rsid w:val="008003A6"/>
    <w:rsid w:val="00801F68"/>
    <w:rsid w:val="0080234F"/>
    <w:rsid w:val="00802BAE"/>
    <w:rsid w:val="00802DC8"/>
    <w:rsid w:val="00802EE0"/>
    <w:rsid w:val="00802F82"/>
    <w:rsid w:val="00804BEA"/>
    <w:rsid w:val="008056CF"/>
    <w:rsid w:val="00805BD5"/>
    <w:rsid w:val="00805DAA"/>
    <w:rsid w:val="00807DF4"/>
    <w:rsid w:val="00810632"/>
    <w:rsid w:val="008116ED"/>
    <w:rsid w:val="00811723"/>
    <w:rsid w:val="00812901"/>
    <w:rsid w:val="00812D72"/>
    <w:rsid w:val="00812DE6"/>
    <w:rsid w:val="00814F45"/>
    <w:rsid w:val="008150CB"/>
    <w:rsid w:val="00815BB2"/>
    <w:rsid w:val="00816265"/>
    <w:rsid w:val="00816CB7"/>
    <w:rsid w:val="00816EA8"/>
    <w:rsid w:val="00817C34"/>
    <w:rsid w:val="00817CA1"/>
    <w:rsid w:val="00817EB6"/>
    <w:rsid w:val="00820050"/>
    <w:rsid w:val="008202D4"/>
    <w:rsid w:val="00820E8F"/>
    <w:rsid w:val="00821514"/>
    <w:rsid w:val="00821600"/>
    <w:rsid w:val="00821FBE"/>
    <w:rsid w:val="008227BF"/>
    <w:rsid w:val="0082352D"/>
    <w:rsid w:val="00825A11"/>
    <w:rsid w:val="00825D14"/>
    <w:rsid w:val="00826B9A"/>
    <w:rsid w:val="00830ACF"/>
    <w:rsid w:val="00830D87"/>
    <w:rsid w:val="008311BD"/>
    <w:rsid w:val="00831245"/>
    <w:rsid w:val="00832979"/>
    <w:rsid w:val="00836251"/>
    <w:rsid w:val="00836348"/>
    <w:rsid w:val="0084060D"/>
    <w:rsid w:val="0084190E"/>
    <w:rsid w:val="00841A7D"/>
    <w:rsid w:val="00843170"/>
    <w:rsid w:val="008440A0"/>
    <w:rsid w:val="008442B5"/>
    <w:rsid w:val="00845429"/>
    <w:rsid w:val="008454C8"/>
    <w:rsid w:val="00845E8D"/>
    <w:rsid w:val="00846303"/>
    <w:rsid w:val="00846BD6"/>
    <w:rsid w:val="00850849"/>
    <w:rsid w:val="00854D4F"/>
    <w:rsid w:val="0085527F"/>
    <w:rsid w:val="008553AB"/>
    <w:rsid w:val="008559B3"/>
    <w:rsid w:val="008560DF"/>
    <w:rsid w:val="00857268"/>
    <w:rsid w:val="008574C6"/>
    <w:rsid w:val="00861C00"/>
    <w:rsid w:val="00861D4E"/>
    <w:rsid w:val="008629CB"/>
    <w:rsid w:val="00863312"/>
    <w:rsid w:val="008637D3"/>
    <w:rsid w:val="00863FB9"/>
    <w:rsid w:val="00864FBD"/>
    <w:rsid w:val="00865CBD"/>
    <w:rsid w:val="00866C43"/>
    <w:rsid w:val="00866E73"/>
    <w:rsid w:val="00867EED"/>
    <w:rsid w:val="0087109B"/>
    <w:rsid w:val="00871C9D"/>
    <w:rsid w:val="00872A79"/>
    <w:rsid w:val="00872B28"/>
    <w:rsid w:val="00873DDA"/>
    <w:rsid w:val="008747E7"/>
    <w:rsid w:val="00875D89"/>
    <w:rsid w:val="00876A2D"/>
    <w:rsid w:val="00877A1A"/>
    <w:rsid w:val="00881674"/>
    <w:rsid w:val="00881A24"/>
    <w:rsid w:val="00883B57"/>
    <w:rsid w:val="00884330"/>
    <w:rsid w:val="00892109"/>
    <w:rsid w:val="008929BF"/>
    <w:rsid w:val="0089523C"/>
    <w:rsid w:val="00897C4F"/>
    <w:rsid w:val="008A20C1"/>
    <w:rsid w:val="008A2430"/>
    <w:rsid w:val="008A557C"/>
    <w:rsid w:val="008A622D"/>
    <w:rsid w:val="008A6498"/>
    <w:rsid w:val="008A7C4C"/>
    <w:rsid w:val="008B07CD"/>
    <w:rsid w:val="008B0ED8"/>
    <w:rsid w:val="008B1FBC"/>
    <w:rsid w:val="008B723E"/>
    <w:rsid w:val="008B7BEB"/>
    <w:rsid w:val="008B7F41"/>
    <w:rsid w:val="008B7FA9"/>
    <w:rsid w:val="008C0512"/>
    <w:rsid w:val="008C0AEE"/>
    <w:rsid w:val="008C0F96"/>
    <w:rsid w:val="008C19B1"/>
    <w:rsid w:val="008C1DCD"/>
    <w:rsid w:val="008C2FBF"/>
    <w:rsid w:val="008C34FC"/>
    <w:rsid w:val="008C38AF"/>
    <w:rsid w:val="008C4AEA"/>
    <w:rsid w:val="008C5D5D"/>
    <w:rsid w:val="008C6E64"/>
    <w:rsid w:val="008C784D"/>
    <w:rsid w:val="008D11BF"/>
    <w:rsid w:val="008D7125"/>
    <w:rsid w:val="008D77BB"/>
    <w:rsid w:val="008E0D9A"/>
    <w:rsid w:val="008E0DF2"/>
    <w:rsid w:val="008E13F4"/>
    <w:rsid w:val="008E1C90"/>
    <w:rsid w:val="008E2845"/>
    <w:rsid w:val="008E2E7D"/>
    <w:rsid w:val="008E3BCD"/>
    <w:rsid w:val="008E4657"/>
    <w:rsid w:val="008E49A7"/>
    <w:rsid w:val="008E543C"/>
    <w:rsid w:val="008E718E"/>
    <w:rsid w:val="008F054A"/>
    <w:rsid w:val="008F0871"/>
    <w:rsid w:val="008F0AA7"/>
    <w:rsid w:val="008F0E1D"/>
    <w:rsid w:val="008F39F2"/>
    <w:rsid w:val="008F4F4C"/>
    <w:rsid w:val="008F78C1"/>
    <w:rsid w:val="009009D5"/>
    <w:rsid w:val="00901B1D"/>
    <w:rsid w:val="00901C1F"/>
    <w:rsid w:val="009035AC"/>
    <w:rsid w:val="00903E1E"/>
    <w:rsid w:val="009041FE"/>
    <w:rsid w:val="009073A0"/>
    <w:rsid w:val="00907543"/>
    <w:rsid w:val="0090763A"/>
    <w:rsid w:val="009105AD"/>
    <w:rsid w:val="00910CC4"/>
    <w:rsid w:val="00910F89"/>
    <w:rsid w:val="00911946"/>
    <w:rsid w:val="009137D2"/>
    <w:rsid w:val="0091511B"/>
    <w:rsid w:val="00916A31"/>
    <w:rsid w:val="009201F7"/>
    <w:rsid w:val="00920A87"/>
    <w:rsid w:val="0092265C"/>
    <w:rsid w:val="009238D2"/>
    <w:rsid w:val="0092412A"/>
    <w:rsid w:val="00924730"/>
    <w:rsid w:val="00924F56"/>
    <w:rsid w:val="009256D5"/>
    <w:rsid w:val="00927520"/>
    <w:rsid w:val="00930059"/>
    <w:rsid w:val="00930237"/>
    <w:rsid w:val="009304ED"/>
    <w:rsid w:val="00930609"/>
    <w:rsid w:val="0093206E"/>
    <w:rsid w:val="00933D1C"/>
    <w:rsid w:val="00933EF0"/>
    <w:rsid w:val="009341CA"/>
    <w:rsid w:val="00934D66"/>
    <w:rsid w:val="009376A2"/>
    <w:rsid w:val="0093784A"/>
    <w:rsid w:val="00937D52"/>
    <w:rsid w:val="009407A2"/>
    <w:rsid w:val="00941531"/>
    <w:rsid w:val="0094154F"/>
    <w:rsid w:val="00945A35"/>
    <w:rsid w:val="00945ADD"/>
    <w:rsid w:val="00946268"/>
    <w:rsid w:val="009464CF"/>
    <w:rsid w:val="00946706"/>
    <w:rsid w:val="00947189"/>
    <w:rsid w:val="009473DF"/>
    <w:rsid w:val="009478A8"/>
    <w:rsid w:val="00947E86"/>
    <w:rsid w:val="00950A9B"/>
    <w:rsid w:val="009516A6"/>
    <w:rsid w:val="009520EF"/>
    <w:rsid w:val="009525A9"/>
    <w:rsid w:val="0095365A"/>
    <w:rsid w:val="00953C00"/>
    <w:rsid w:val="00954675"/>
    <w:rsid w:val="00954F70"/>
    <w:rsid w:val="00960BA8"/>
    <w:rsid w:val="009615A1"/>
    <w:rsid w:val="00961C71"/>
    <w:rsid w:val="0096370E"/>
    <w:rsid w:val="00963760"/>
    <w:rsid w:val="00963F1E"/>
    <w:rsid w:val="0096460F"/>
    <w:rsid w:val="009657E9"/>
    <w:rsid w:val="00965A19"/>
    <w:rsid w:val="00965C93"/>
    <w:rsid w:val="00967747"/>
    <w:rsid w:val="00967F1C"/>
    <w:rsid w:val="00973128"/>
    <w:rsid w:val="00975FEB"/>
    <w:rsid w:val="00976A22"/>
    <w:rsid w:val="00976F81"/>
    <w:rsid w:val="009776EC"/>
    <w:rsid w:val="00977D0A"/>
    <w:rsid w:val="009807F0"/>
    <w:rsid w:val="009814D8"/>
    <w:rsid w:val="009827BD"/>
    <w:rsid w:val="009834C5"/>
    <w:rsid w:val="0098531C"/>
    <w:rsid w:val="009854B3"/>
    <w:rsid w:val="00986EC7"/>
    <w:rsid w:val="00990E9C"/>
    <w:rsid w:val="009916DD"/>
    <w:rsid w:val="00991A56"/>
    <w:rsid w:val="00991FF7"/>
    <w:rsid w:val="0099214F"/>
    <w:rsid w:val="00994255"/>
    <w:rsid w:val="00994603"/>
    <w:rsid w:val="00994E87"/>
    <w:rsid w:val="00995E7B"/>
    <w:rsid w:val="00996D45"/>
    <w:rsid w:val="00996EEF"/>
    <w:rsid w:val="00997B98"/>
    <w:rsid w:val="009A0D97"/>
    <w:rsid w:val="009A23A0"/>
    <w:rsid w:val="009A284B"/>
    <w:rsid w:val="009A500B"/>
    <w:rsid w:val="009A5FAB"/>
    <w:rsid w:val="009A6DA1"/>
    <w:rsid w:val="009A7288"/>
    <w:rsid w:val="009A7C26"/>
    <w:rsid w:val="009B00DE"/>
    <w:rsid w:val="009B160B"/>
    <w:rsid w:val="009B307F"/>
    <w:rsid w:val="009B3F22"/>
    <w:rsid w:val="009B4315"/>
    <w:rsid w:val="009B4998"/>
    <w:rsid w:val="009B5099"/>
    <w:rsid w:val="009B6625"/>
    <w:rsid w:val="009B6849"/>
    <w:rsid w:val="009B732E"/>
    <w:rsid w:val="009C4A56"/>
    <w:rsid w:val="009C4B50"/>
    <w:rsid w:val="009C4CAC"/>
    <w:rsid w:val="009C7333"/>
    <w:rsid w:val="009C7780"/>
    <w:rsid w:val="009D07BB"/>
    <w:rsid w:val="009D12A1"/>
    <w:rsid w:val="009D2AFF"/>
    <w:rsid w:val="009D48E0"/>
    <w:rsid w:val="009D50C0"/>
    <w:rsid w:val="009D735F"/>
    <w:rsid w:val="009D784E"/>
    <w:rsid w:val="009E0431"/>
    <w:rsid w:val="009E2134"/>
    <w:rsid w:val="009E2A1D"/>
    <w:rsid w:val="009E402B"/>
    <w:rsid w:val="009E46EE"/>
    <w:rsid w:val="009E538E"/>
    <w:rsid w:val="009E755A"/>
    <w:rsid w:val="009F0447"/>
    <w:rsid w:val="009F04EA"/>
    <w:rsid w:val="009F192B"/>
    <w:rsid w:val="009F30D6"/>
    <w:rsid w:val="009F4108"/>
    <w:rsid w:val="009F44EB"/>
    <w:rsid w:val="009F45A5"/>
    <w:rsid w:val="009F4912"/>
    <w:rsid w:val="00A00958"/>
    <w:rsid w:val="00A00CED"/>
    <w:rsid w:val="00A00F5E"/>
    <w:rsid w:val="00A00FA6"/>
    <w:rsid w:val="00A019E4"/>
    <w:rsid w:val="00A01C98"/>
    <w:rsid w:val="00A04989"/>
    <w:rsid w:val="00A054D5"/>
    <w:rsid w:val="00A07525"/>
    <w:rsid w:val="00A077E6"/>
    <w:rsid w:val="00A1023E"/>
    <w:rsid w:val="00A11712"/>
    <w:rsid w:val="00A11E55"/>
    <w:rsid w:val="00A1241D"/>
    <w:rsid w:val="00A12D49"/>
    <w:rsid w:val="00A14662"/>
    <w:rsid w:val="00A15062"/>
    <w:rsid w:val="00A155A7"/>
    <w:rsid w:val="00A15B00"/>
    <w:rsid w:val="00A16B90"/>
    <w:rsid w:val="00A20113"/>
    <w:rsid w:val="00A2080B"/>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3C7"/>
    <w:rsid w:val="00A4490D"/>
    <w:rsid w:val="00A452CF"/>
    <w:rsid w:val="00A46BDF"/>
    <w:rsid w:val="00A47D5D"/>
    <w:rsid w:val="00A506FE"/>
    <w:rsid w:val="00A522BE"/>
    <w:rsid w:val="00A53B04"/>
    <w:rsid w:val="00A53F78"/>
    <w:rsid w:val="00A549DD"/>
    <w:rsid w:val="00A55AF7"/>
    <w:rsid w:val="00A55E85"/>
    <w:rsid w:val="00A564DC"/>
    <w:rsid w:val="00A57662"/>
    <w:rsid w:val="00A60772"/>
    <w:rsid w:val="00A60943"/>
    <w:rsid w:val="00A6133E"/>
    <w:rsid w:val="00A61473"/>
    <w:rsid w:val="00A622AF"/>
    <w:rsid w:val="00A63C38"/>
    <w:rsid w:val="00A63E3E"/>
    <w:rsid w:val="00A66E9D"/>
    <w:rsid w:val="00A679F8"/>
    <w:rsid w:val="00A70B76"/>
    <w:rsid w:val="00A71FA2"/>
    <w:rsid w:val="00A723CC"/>
    <w:rsid w:val="00A7271A"/>
    <w:rsid w:val="00A7390B"/>
    <w:rsid w:val="00A74398"/>
    <w:rsid w:val="00A75F72"/>
    <w:rsid w:val="00A763F7"/>
    <w:rsid w:val="00A76D58"/>
    <w:rsid w:val="00A773C1"/>
    <w:rsid w:val="00A80A0F"/>
    <w:rsid w:val="00A8194F"/>
    <w:rsid w:val="00A826F6"/>
    <w:rsid w:val="00A82B1F"/>
    <w:rsid w:val="00A8335E"/>
    <w:rsid w:val="00A8360C"/>
    <w:rsid w:val="00A83CAE"/>
    <w:rsid w:val="00A841C2"/>
    <w:rsid w:val="00A8479D"/>
    <w:rsid w:val="00A859C8"/>
    <w:rsid w:val="00A86314"/>
    <w:rsid w:val="00A87A97"/>
    <w:rsid w:val="00A90350"/>
    <w:rsid w:val="00A93902"/>
    <w:rsid w:val="00A95689"/>
    <w:rsid w:val="00A95AA9"/>
    <w:rsid w:val="00A962DB"/>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2D60"/>
    <w:rsid w:val="00AD33D2"/>
    <w:rsid w:val="00AD3F22"/>
    <w:rsid w:val="00AD5AAF"/>
    <w:rsid w:val="00AE040F"/>
    <w:rsid w:val="00AE0DCB"/>
    <w:rsid w:val="00AE32E4"/>
    <w:rsid w:val="00AE5550"/>
    <w:rsid w:val="00AE56E2"/>
    <w:rsid w:val="00AE58ED"/>
    <w:rsid w:val="00AE5F90"/>
    <w:rsid w:val="00AF1B71"/>
    <w:rsid w:val="00AF2355"/>
    <w:rsid w:val="00AF24B9"/>
    <w:rsid w:val="00AF27A0"/>
    <w:rsid w:val="00AF409F"/>
    <w:rsid w:val="00AF43ED"/>
    <w:rsid w:val="00AF4B2C"/>
    <w:rsid w:val="00AF5DE4"/>
    <w:rsid w:val="00AF5DE8"/>
    <w:rsid w:val="00AF73F5"/>
    <w:rsid w:val="00AF780C"/>
    <w:rsid w:val="00B01AC2"/>
    <w:rsid w:val="00B01D89"/>
    <w:rsid w:val="00B03820"/>
    <w:rsid w:val="00B0387A"/>
    <w:rsid w:val="00B07AC1"/>
    <w:rsid w:val="00B10A5C"/>
    <w:rsid w:val="00B10DA1"/>
    <w:rsid w:val="00B1106E"/>
    <w:rsid w:val="00B1160D"/>
    <w:rsid w:val="00B12D70"/>
    <w:rsid w:val="00B14D54"/>
    <w:rsid w:val="00B15767"/>
    <w:rsid w:val="00B16AD4"/>
    <w:rsid w:val="00B204EA"/>
    <w:rsid w:val="00B20673"/>
    <w:rsid w:val="00B212C2"/>
    <w:rsid w:val="00B23033"/>
    <w:rsid w:val="00B23510"/>
    <w:rsid w:val="00B27B71"/>
    <w:rsid w:val="00B27CD1"/>
    <w:rsid w:val="00B30BA0"/>
    <w:rsid w:val="00B311C6"/>
    <w:rsid w:val="00B31AF7"/>
    <w:rsid w:val="00B3219A"/>
    <w:rsid w:val="00B3342C"/>
    <w:rsid w:val="00B33534"/>
    <w:rsid w:val="00B33B38"/>
    <w:rsid w:val="00B3442B"/>
    <w:rsid w:val="00B344E9"/>
    <w:rsid w:val="00B35B4F"/>
    <w:rsid w:val="00B376D9"/>
    <w:rsid w:val="00B379CD"/>
    <w:rsid w:val="00B407CB"/>
    <w:rsid w:val="00B41391"/>
    <w:rsid w:val="00B4461D"/>
    <w:rsid w:val="00B44746"/>
    <w:rsid w:val="00B44F8F"/>
    <w:rsid w:val="00B4515B"/>
    <w:rsid w:val="00B46546"/>
    <w:rsid w:val="00B46E03"/>
    <w:rsid w:val="00B471B9"/>
    <w:rsid w:val="00B5049C"/>
    <w:rsid w:val="00B50AA5"/>
    <w:rsid w:val="00B51CC7"/>
    <w:rsid w:val="00B5346B"/>
    <w:rsid w:val="00B54AFA"/>
    <w:rsid w:val="00B55756"/>
    <w:rsid w:val="00B5610F"/>
    <w:rsid w:val="00B577D7"/>
    <w:rsid w:val="00B62745"/>
    <w:rsid w:val="00B63353"/>
    <w:rsid w:val="00B63735"/>
    <w:rsid w:val="00B63992"/>
    <w:rsid w:val="00B64209"/>
    <w:rsid w:val="00B64BAE"/>
    <w:rsid w:val="00B667D5"/>
    <w:rsid w:val="00B66836"/>
    <w:rsid w:val="00B7122F"/>
    <w:rsid w:val="00B716D5"/>
    <w:rsid w:val="00B71738"/>
    <w:rsid w:val="00B71D76"/>
    <w:rsid w:val="00B72102"/>
    <w:rsid w:val="00B72C29"/>
    <w:rsid w:val="00B7307C"/>
    <w:rsid w:val="00B7437D"/>
    <w:rsid w:val="00B74620"/>
    <w:rsid w:val="00B747F5"/>
    <w:rsid w:val="00B757C1"/>
    <w:rsid w:val="00B75F6B"/>
    <w:rsid w:val="00B76577"/>
    <w:rsid w:val="00B804E8"/>
    <w:rsid w:val="00B80F2E"/>
    <w:rsid w:val="00B812A4"/>
    <w:rsid w:val="00B81901"/>
    <w:rsid w:val="00B8240C"/>
    <w:rsid w:val="00B83B1F"/>
    <w:rsid w:val="00B90F95"/>
    <w:rsid w:val="00B9272E"/>
    <w:rsid w:val="00B929EF"/>
    <w:rsid w:val="00B93064"/>
    <w:rsid w:val="00B94B2B"/>
    <w:rsid w:val="00B94C34"/>
    <w:rsid w:val="00B950A7"/>
    <w:rsid w:val="00B958AB"/>
    <w:rsid w:val="00B95DEF"/>
    <w:rsid w:val="00B961B2"/>
    <w:rsid w:val="00B9634F"/>
    <w:rsid w:val="00B96EB6"/>
    <w:rsid w:val="00BA2164"/>
    <w:rsid w:val="00BA295D"/>
    <w:rsid w:val="00BA3862"/>
    <w:rsid w:val="00BA54EA"/>
    <w:rsid w:val="00BA5A19"/>
    <w:rsid w:val="00BA7CBE"/>
    <w:rsid w:val="00BB071A"/>
    <w:rsid w:val="00BB1CAF"/>
    <w:rsid w:val="00BB20FA"/>
    <w:rsid w:val="00BB3BD9"/>
    <w:rsid w:val="00BB4045"/>
    <w:rsid w:val="00BB4EFD"/>
    <w:rsid w:val="00BB5028"/>
    <w:rsid w:val="00BB5EDE"/>
    <w:rsid w:val="00BB7A05"/>
    <w:rsid w:val="00BC0453"/>
    <w:rsid w:val="00BC051F"/>
    <w:rsid w:val="00BC2EF8"/>
    <w:rsid w:val="00BC3B47"/>
    <w:rsid w:val="00BC40D6"/>
    <w:rsid w:val="00BC49A2"/>
    <w:rsid w:val="00BC4F43"/>
    <w:rsid w:val="00BC5A26"/>
    <w:rsid w:val="00BC5AF9"/>
    <w:rsid w:val="00BC5FDB"/>
    <w:rsid w:val="00BC7A9F"/>
    <w:rsid w:val="00BD092C"/>
    <w:rsid w:val="00BD0DF8"/>
    <w:rsid w:val="00BD110A"/>
    <w:rsid w:val="00BD1FD9"/>
    <w:rsid w:val="00BD3149"/>
    <w:rsid w:val="00BD347B"/>
    <w:rsid w:val="00BD3FE7"/>
    <w:rsid w:val="00BD4795"/>
    <w:rsid w:val="00BD4C21"/>
    <w:rsid w:val="00BD56CD"/>
    <w:rsid w:val="00BE07D9"/>
    <w:rsid w:val="00BE2196"/>
    <w:rsid w:val="00BE2291"/>
    <w:rsid w:val="00BE3F58"/>
    <w:rsid w:val="00BE4396"/>
    <w:rsid w:val="00BE55B8"/>
    <w:rsid w:val="00BE7744"/>
    <w:rsid w:val="00BF0091"/>
    <w:rsid w:val="00BF20BC"/>
    <w:rsid w:val="00BF226F"/>
    <w:rsid w:val="00BF2ED8"/>
    <w:rsid w:val="00BF4056"/>
    <w:rsid w:val="00BF407C"/>
    <w:rsid w:val="00BF49BD"/>
    <w:rsid w:val="00BF5075"/>
    <w:rsid w:val="00BF678A"/>
    <w:rsid w:val="00BF7365"/>
    <w:rsid w:val="00BF7DDE"/>
    <w:rsid w:val="00C00998"/>
    <w:rsid w:val="00C01A35"/>
    <w:rsid w:val="00C01C50"/>
    <w:rsid w:val="00C01E85"/>
    <w:rsid w:val="00C0348E"/>
    <w:rsid w:val="00C068D1"/>
    <w:rsid w:val="00C126CC"/>
    <w:rsid w:val="00C12718"/>
    <w:rsid w:val="00C12878"/>
    <w:rsid w:val="00C16D62"/>
    <w:rsid w:val="00C1775F"/>
    <w:rsid w:val="00C200A0"/>
    <w:rsid w:val="00C20EC9"/>
    <w:rsid w:val="00C2132A"/>
    <w:rsid w:val="00C24DE0"/>
    <w:rsid w:val="00C267F3"/>
    <w:rsid w:val="00C27DEA"/>
    <w:rsid w:val="00C30F9A"/>
    <w:rsid w:val="00C31204"/>
    <w:rsid w:val="00C3328F"/>
    <w:rsid w:val="00C336D8"/>
    <w:rsid w:val="00C33BF4"/>
    <w:rsid w:val="00C34309"/>
    <w:rsid w:val="00C34CB3"/>
    <w:rsid w:val="00C36400"/>
    <w:rsid w:val="00C36A33"/>
    <w:rsid w:val="00C40E1F"/>
    <w:rsid w:val="00C4111B"/>
    <w:rsid w:val="00C420B4"/>
    <w:rsid w:val="00C4528F"/>
    <w:rsid w:val="00C45C7F"/>
    <w:rsid w:val="00C46DDD"/>
    <w:rsid w:val="00C511A6"/>
    <w:rsid w:val="00C540F1"/>
    <w:rsid w:val="00C5458A"/>
    <w:rsid w:val="00C56B95"/>
    <w:rsid w:val="00C56EF6"/>
    <w:rsid w:val="00C57267"/>
    <w:rsid w:val="00C60C97"/>
    <w:rsid w:val="00C61366"/>
    <w:rsid w:val="00C629AE"/>
    <w:rsid w:val="00C670F0"/>
    <w:rsid w:val="00C70A4D"/>
    <w:rsid w:val="00C71DEE"/>
    <w:rsid w:val="00C7273B"/>
    <w:rsid w:val="00C73022"/>
    <w:rsid w:val="00C73229"/>
    <w:rsid w:val="00C74DA7"/>
    <w:rsid w:val="00C7500C"/>
    <w:rsid w:val="00C75D74"/>
    <w:rsid w:val="00C75E55"/>
    <w:rsid w:val="00C76420"/>
    <w:rsid w:val="00C775D1"/>
    <w:rsid w:val="00C8054C"/>
    <w:rsid w:val="00C80C0C"/>
    <w:rsid w:val="00C82B5E"/>
    <w:rsid w:val="00C8305B"/>
    <w:rsid w:val="00C83BB4"/>
    <w:rsid w:val="00C84C86"/>
    <w:rsid w:val="00C85577"/>
    <w:rsid w:val="00C85BE7"/>
    <w:rsid w:val="00C8696A"/>
    <w:rsid w:val="00C87AAF"/>
    <w:rsid w:val="00C93914"/>
    <w:rsid w:val="00C9449E"/>
    <w:rsid w:val="00C9700E"/>
    <w:rsid w:val="00C97BE6"/>
    <w:rsid w:val="00CA377D"/>
    <w:rsid w:val="00CA3EE7"/>
    <w:rsid w:val="00CA46E1"/>
    <w:rsid w:val="00CA6B1B"/>
    <w:rsid w:val="00CB1D0B"/>
    <w:rsid w:val="00CB2339"/>
    <w:rsid w:val="00CB2D14"/>
    <w:rsid w:val="00CB32C5"/>
    <w:rsid w:val="00CB3341"/>
    <w:rsid w:val="00CB4E28"/>
    <w:rsid w:val="00CB4E72"/>
    <w:rsid w:val="00CB57B1"/>
    <w:rsid w:val="00CB7002"/>
    <w:rsid w:val="00CB704E"/>
    <w:rsid w:val="00CC0227"/>
    <w:rsid w:val="00CC1D9A"/>
    <w:rsid w:val="00CC23D7"/>
    <w:rsid w:val="00CC250B"/>
    <w:rsid w:val="00CC56B4"/>
    <w:rsid w:val="00CC673F"/>
    <w:rsid w:val="00CC6CD6"/>
    <w:rsid w:val="00CC74CA"/>
    <w:rsid w:val="00CC778C"/>
    <w:rsid w:val="00CD1197"/>
    <w:rsid w:val="00CD1E84"/>
    <w:rsid w:val="00CD3756"/>
    <w:rsid w:val="00CD37B7"/>
    <w:rsid w:val="00CD3C2C"/>
    <w:rsid w:val="00CD6430"/>
    <w:rsid w:val="00CE01B9"/>
    <w:rsid w:val="00CE0538"/>
    <w:rsid w:val="00CE12A7"/>
    <w:rsid w:val="00CE20D8"/>
    <w:rsid w:val="00CE2706"/>
    <w:rsid w:val="00CE4DB0"/>
    <w:rsid w:val="00CE5A7F"/>
    <w:rsid w:val="00CE7759"/>
    <w:rsid w:val="00CF0835"/>
    <w:rsid w:val="00CF5BBD"/>
    <w:rsid w:val="00CF5C49"/>
    <w:rsid w:val="00CF6932"/>
    <w:rsid w:val="00D02A3A"/>
    <w:rsid w:val="00D033EF"/>
    <w:rsid w:val="00D063EF"/>
    <w:rsid w:val="00D06E8D"/>
    <w:rsid w:val="00D115FF"/>
    <w:rsid w:val="00D119C9"/>
    <w:rsid w:val="00D13181"/>
    <w:rsid w:val="00D14F26"/>
    <w:rsid w:val="00D16770"/>
    <w:rsid w:val="00D1794D"/>
    <w:rsid w:val="00D20548"/>
    <w:rsid w:val="00D20669"/>
    <w:rsid w:val="00D2240E"/>
    <w:rsid w:val="00D23140"/>
    <w:rsid w:val="00D26312"/>
    <w:rsid w:val="00D2655F"/>
    <w:rsid w:val="00D26564"/>
    <w:rsid w:val="00D304DC"/>
    <w:rsid w:val="00D32DB4"/>
    <w:rsid w:val="00D32E60"/>
    <w:rsid w:val="00D33DFB"/>
    <w:rsid w:val="00D35C58"/>
    <w:rsid w:val="00D3628A"/>
    <w:rsid w:val="00D362BC"/>
    <w:rsid w:val="00D377C0"/>
    <w:rsid w:val="00D37BF8"/>
    <w:rsid w:val="00D40064"/>
    <w:rsid w:val="00D419B7"/>
    <w:rsid w:val="00D431FE"/>
    <w:rsid w:val="00D44253"/>
    <w:rsid w:val="00D45E08"/>
    <w:rsid w:val="00D45F44"/>
    <w:rsid w:val="00D46717"/>
    <w:rsid w:val="00D471E8"/>
    <w:rsid w:val="00D5005D"/>
    <w:rsid w:val="00D50618"/>
    <w:rsid w:val="00D51819"/>
    <w:rsid w:val="00D5514B"/>
    <w:rsid w:val="00D55380"/>
    <w:rsid w:val="00D55FEF"/>
    <w:rsid w:val="00D57509"/>
    <w:rsid w:val="00D5779C"/>
    <w:rsid w:val="00D57B04"/>
    <w:rsid w:val="00D61144"/>
    <w:rsid w:val="00D614BD"/>
    <w:rsid w:val="00D6345B"/>
    <w:rsid w:val="00D63704"/>
    <w:rsid w:val="00D642CD"/>
    <w:rsid w:val="00D65B3C"/>
    <w:rsid w:val="00D663FA"/>
    <w:rsid w:val="00D666A8"/>
    <w:rsid w:val="00D678CE"/>
    <w:rsid w:val="00D67EF7"/>
    <w:rsid w:val="00D67F5D"/>
    <w:rsid w:val="00D708E3"/>
    <w:rsid w:val="00D70C80"/>
    <w:rsid w:val="00D7189F"/>
    <w:rsid w:val="00D71CCD"/>
    <w:rsid w:val="00D7325D"/>
    <w:rsid w:val="00D7391E"/>
    <w:rsid w:val="00D7580C"/>
    <w:rsid w:val="00D8070F"/>
    <w:rsid w:val="00D81345"/>
    <w:rsid w:val="00D83115"/>
    <w:rsid w:val="00D835CF"/>
    <w:rsid w:val="00D83AC2"/>
    <w:rsid w:val="00D83B5B"/>
    <w:rsid w:val="00D83F5D"/>
    <w:rsid w:val="00D85180"/>
    <w:rsid w:val="00D85284"/>
    <w:rsid w:val="00D867D6"/>
    <w:rsid w:val="00D86EA1"/>
    <w:rsid w:val="00D870AE"/>
    <w:rsid w:val="00D877E5"/>
    <w:rsid w:val="00D902BA"/>
    <w:rsid w:val="00D90D7A"/>
    <w:rsid w:val="00D916A9"/>
    <w:rsid w:val="00D92234"/>
    <w:rsid w:val="00D9227B"/>
    <w:rsid w:val="00D95313"/>
    <w:rsid w:val="00D9536E"/>
    <w:rsid w:val="00D9548F"/>
    <w:rsid w:val="00D954E7"/>
    <w:rsid w:val="00D95F52"/>
    <w:rsid w:val="00D9698A"/>
    <w:rsid w:val="00D96DB9"/>
    <w:rsid w:val="00D97943"/>
    <w:rsid w:val="00D97B7F"/>
    <w:rsid w:val="00D97F64"/>
    <w:rsid w:val="00DA107E"/>
    <w:rsid w:val="00DA26FB"/>
    <w:rsid w:val="00DA2963"/>
    <w:rsid w:val="00DA2E5A"/>
    <w:rsid w:val="00DA2FCC"/>
    <w:rsid w:val="00DA3F3E"/>
    <w:rsid w:val="00DA637C"/>
    <w:rsid w:val="00DA6A13"/>
    <w:rsid w:val="00DA6E5C"/>
    <w:rsid w:val="00DB05D3"/>
    <w:rsid w:val="00DB189C"/>
    <w:rsid w:val="00DB2B5B"/>
    <w:rsid w:val="00DB3855"/>
    <w:rsid w:val="00DB57AF"/>
    <w:rsid w:val="00DB63E9"/>
    <w:rsid w:val="00DB67A1"/>
    <w:rsid w:val="00DB6C3D"/>
    <w:rsid w:val="00DB6D43"/>
    <w:rsid w:val="00DB7143"/>
    <w:rsid w:val="00DC0FF1"/>
    <w:rsid w:val="00DC2763"/>
    <w:rsid w:val="00DC28CC"/>
    <w:rsid w:val="00DC3A96"/>
    <w:rsid w:val="00DC52E1"/>
    <w:rsid w:val="00DC5ACF"/>
    <w:rsid w:val="00DC744C"/>
    <w:rsid w:val="00DD0C13"/>
    <w:rsid w:val="00DD0F44"/>
    <w:rsid w:val="00DD1898"/>
    <w:rsid w:val="00DD286C"/>
    <w:rsid w:val="00DD3593"/>
    <w:rsid w:val="00DD3DBD"/>
    <w:rsid w:val="00DD4F00"/>
    <w:rsid w:val="00DD4F6E"/>
    <w:rsid w:val="00DD5CD9"/>
    <w:rsid w:val="00DD5FB6"/>
    <w:rsid w:val="00DD672A"/>
    <w:rsid w:val="00DD74EF"/>
    <w:rsid w:val="00DE0DBE"/>
    <w:rsid w:val="00DE4526"/>
    <w:rsid w:val="00DE4CB9"/>
    <w:rsid w:val="00DE5603"/>
    <w:rsid w:val="00DE5993"/>
    <w:rsid w:val="00DE59CA"/>
    <w:rsid w:val="00DE6291"/>
    <w:rsid w:val="00DE6F22"/>
    <w:rsid w:val="00DE740E"/>
    <w:rsid w:val="00DE75BA"/>
    <w:rsid w:val="00DF08A0"/>
    <w:rsid w:val="00DF0EBB"/>
    <w:rsid w:val="00DF19AE"/>
    <w:rsid w:val="00DF39CC"/>
    <w:rsid w:val="00DF458C"/>
    <w:rsid w:val="00DF4ECB"/>
    <w:rsid w:val="00DF585C"/>
    <w:rsid w:val="00E00F63"/>
    <w:rsid w:val="00E011B8"/>
    <w:rsid w:val="00E02834"/>
    <w:rsid w:val="00E03F62"/>
    <w:rsid w:val="00E0475E"/>
    <w:rsid w:val="00E048E1"/>
    <w:rsid w:val="00E0711C"/>
    <w:rsid w:val="00E07776"/>
    <w:rsid w:val="00E10083"/>
    <w:rsid w:val="00E11210"/>
    <w:rsid w:val="00E120A0"/>
    <w:rsid w:val="00E1260E"/>
    <w:rsid w:val="00E12D43"/>
    <w:rsid w:val="00E1484E"/>
    <w:rsid w:val="00E14D27"/>
    <w:rsid w:val="00E1567D"/>
    <w:rsid w:val="00E15E5B"/>
    <w:rsid w:val="00E161AD"/>
    <w:rsid w:val="00E17F89"/>
    <w:rsid w:val="00E20F08"/>
    <w:rsid w:val="00E23187"/>
    <w:rsid w:val="00E23384"/>
    <w:rsid w:val="00E24C52"/>
    <w:rsid w:val="00E25DB3"/>
    <w:rsid w:val="00E27126"/>
    <w:rsid w:val="00E33449"/>
    <w:rsid w:val="00E34745"/>
    <w:rsid w:val="00E34A97"/>
    <w:rsid w:val="00E34CED"/>
    <w:rsid w:val="00E366C6"/>
    <w:rsid w:val="00E42414"/>
    <w:rsid w:val="00E4388A"/>
    <w:rsid w:val="00E45AB5"/>
    <w:rsid w:val="00E45EE8"/>
    <w:rsid w:val="00E46816"/>
    <w:rsid w:val="00E4733A"/>
    <w:rsid w:val="00E4744B"/>
    <w:rsid w:val="00E51347"/>
    <w:rsid w:val="00E5160D"/>
    <w:rsid w:val="00E52947"/>
    <w:rsid w:val="00E52C2F"/>
    <w:rsid w:val="00E53CF6"/>
    <w:rsid w:val="00E54362"/>
    <w:rsid w:val="00E54DF0"/>
    <w:rsid w:val="00E56199"/>
    <w:rsid w:val="00E61749"/>
    <w:rsid w:val="00E62B75"/>
    <w:rsid w:val="00E641B7"/>
    <w:rsid w:val="00E646D3"/>
    <w:rsid w:val="00E65661"/>
    <w:rsid w:val="00E67367"/>
    <w:rsid w:val="00E67EE2"/>
    <w:rsid w:val="00E705DF"/>
    <w:rsid w:val="00E7372C"/>
    <w:rsid w:val="00E738F4"/>
    <w:rsid w:val="00E73DCC"/>
    <w:rsid w:val="00E73FC3"/>
    <w:rsid w:val="00E7466E"/>
    <w:rsid w:val="00E75772"/>
    <w:rsid w:val="00E76F8C"/>
    <w:rsid w:val="00E770E1"/>
    <w:rsid w:val="00E81E09"/>
    <w:rsid w:val="00E83ED2"/>
    <w:rsid w:val="00E840B7"/>
    <w:rsid w:val="00E84821"/>
    <w:rsid w:val="00E85AB9"/>
    <w:rsid w:val="00E85DA2"/>
    <w:rsid w:val="00E900D7"/>
    <w:rsid w:val="00E92413"/>
    <w:rsid w:val="00E9287D"/>
    <w:rsid w:val="00E93FA0"/>
    <w:rsid w:val="00E94563"/>
    <w:rsid w:val="00E94E82"/>
    <w:rsid w:val="00E968DD"/>
    <w:rsid w:val="00E971C3"/>
    <w:rsid w:val="00EA0282"/>
    <w:rsid w:val="00EA0B69"/>
    <w:rsid w:val="00EA0D24"/>
    <w:rsid w:val="00EA1473"/>
    <w:rsid w:val="00EA1FA1"/>
    <w:rsid w:val="00EA421C"/>
    <w:rsid w:val="00EA4A1B"/>
    <w:rsid w:val="00EA50C1"/>
    <w:rsid w:val="00EB00FD"/>
    <w:rsid w:val="00EB1413"/>
    <w:rsid w:val="00EB2069"/>
    <w:rsid w:val="00EB2220"/>
    <w:rsid w:val="00EB5E57"/>
    <w:rsid w:val="00EB62A6"/>
    <w:rsid w:val="00EB6697"/>
    <w:rsid w:val="00EB67F4"/>
    <w:rsid w:val="00EB7AEE"/>
    <w:rsid w:val="00EC020A"/>
    <w:rsid w:val="00EC06B2"/>
    <w:rsid w:val="00EC2668"/>
    <w:rsid w:val="00EC2F1D"/>
    <w:rsid w:val="00EC3040"/>
    <w:rsid w:val="00EC4402"/>
    <w:rsid w:val="00EC45EA"/>
    <w:rsid w:val="00ED01EE"/>
    <w:rsid w:val="00ED04A1"/>
    <w:rsid w:val="00ED104C"/>
    <w:rsid w:val="00ED12E0"/>
    <w:rsid w:val="00ED2112"/>
    <w:rsid w:val="00ED224C"/>
    <w:rsid w:val="00ED2CD1"/>
    <w:rsid w:val="00ED3E26"/>
    <w:rsid w:val="00ED7CB7"/>
    <w:rsid w:val="00EE3B8B"/>
    <w:rsid w:val="00EE494E"/>
    <w:rsid w:val="00EE4D40"/>
    <w:rsid w:val="00EE4FCE"/>
    <w:rsid w:val="00EE745D"/>
    <w:rsid w:val="00EE7BDA"/>
    <w:rsid w:val="00EF1167"/>
    <w:rsid w:val="00EF1B08"/>
    <w:rsid w:val="00EF2354"/>
    <w:rsid w:val="00EF2852"/>
    <w:rsid w:val="00EF28D5"/>
    <w:rsid w:val="00EF3018"/>
    <w:rsid w:val="00EF347D"/>
    <w:rsid w:val="00EF3CA3"/>
    <w:rsid w:val="00EF42FC"/>
    <w:rsid w:val="00EF4BE4"/>
    <w:rsid w:val="00EF4F1F"/>
    <w:rsid w:val="00EF564B"/>
    <w:rsid w:val="00EF623F"/>
    <w:rsid w:val="00EF6FFC"/>
    <w:rsid w:val="00EF7301"/>
    <w:rsid w:val="00EF7EBC"/>
    <w:rsid w:val="00F0110F"/>
    <w:rsid w:val="00F02F01"/>
    <w:rsid w:val="00F035BD"/>
    <w:rsid w:val="00F049F4"/>
    <w:rsid w:val="00F079F0"/>
    <w:rsid w:val="00F07AE8"/>
    <w:rsid w:val="00F120B8"/>
    <w:rsid w:val="00F126A4"/>
    <w:rsid w:val="00F12DC4"/>
    <w:rsid w:val="00F13514"/>
    <w:rsid w:val="00F13C23"/>
    <w:rsid w:val="00F14377"/>
    <w:rsid w:val="00F14862"/>
    <w:rsid w:val="00F14ACD"/>
    <w:rsid w:val="00F16BB0"/>
    <w:rsid w:val="00F17371"/>
    <w:rsid w:val="00F17F18"/>
    <w:rsid w:val="00F2130B"/>
    <w:rsid w:val="00F216BA"/>
    <w:rsid w:val="00F22280"/>
    <w:rsid w:val="00F236C1"/>
    <w:rsid w:val="00F24A46"/>
    <w:rsid w:val="00F31743"/>
    <w:rsid w:val="00F31A78"/>
    <w:rsid w:val="00F31C99"/>
    <w:rsid w:val="00F3336B"/>
    <w:rsid w:val="00F337A7"/>
    <w:rsid w:val="00F3512A"/>
    <w:rsid w:val="00F406ED"/>
    <w:rsid w:val="00F40853"/>
    <w:rsid w:val="00F423B2"/>
    <w:rsid w:val="00F42861"/>
    <w:rsid w:val="00F43D1B"/>
    <w:rsid w:val="00F44E22"/>
    <w:rsid w:val="00F460AC"/>
    <w:rsid w:val="00F505CC"/>
    <w:rsid w:val="00F514D7"/>
    <w:rsid w:val="00F52168"/>
    <w:rsid w:val="00F522EE"/>
    <w:rsid w:val="00F52F25"/>
    <w:rsid w:val="00F537A5"/>
    <w:rsid w:val="00F5458B"/>
    <w:rsid w:val="00F54DBA"/>
    <w:rsid w:val="00F55276"/>
    <w:rsid w:val="00F56DE8"/>
    <w:rsid w:val="00F57044"/>
    <w:rsid w:val="00F6116B"/>
    <w:rsid w:val="00F61AB2"/>
    <w:rsid w:val="00F61C0C"/>
    <w:rsid w:val="00F63117"/>
    <w:rsid w:val="00F638A5"/>
    <w:rsid w:val="00F63F6D"/>
    <w:rsid w:val="00F64D28"/>
    <w:rsid w:val="00F65C91"/>
    <w:rsid w:val="00F65CA2"/>
    <w:rsid w:val="00F70C94"/>
    <w:rsid w:val="00F72F12"/>
    <w:rsid w:val="00F7352A"/>
    <w:rsid w:val="00F73A3C"/>
    <w:rsid w:val="00F745F5"/>
    <w:rsid w:val="00F74773"/>
    <w:rsid w:val="00F74F06"/>
    <w:rsid w:val="00F75F25"/>
    <w:rsid w:val="00F76AE4"/>
    <w:rsid w:val="00F80C67"/>
    <w:rsid w:val="00F81F46"/>
    <w:rsid w:val="00F82342"/>
    <w:rsid w:val="00F82E0C"/>
    <w:rsid w:val="00F83BE0"/>
    <w:rsid w:val="00F85DE3"/>
    <w:rsid w:val="00F87325"/>
    <w:rsid w:val="00F8748B"/>
    <w:rsid w:val="00F9029E"/>
    <w:rsid w:val="00F906AD"/>
    <w:rsid w:val="00F91347"/>
    <w:rsid w:val="00F91480"/>
    <w:rsid w:val="00F91AE4"/>
    <w:rsid w:val="00F924D6"/>
    <w:rsid w:val="00F92C57"/>
    <w:rsid w:val="00F93503"/>
    <w:rsid w:val="00F95116"/>
    <w:rsid w:val="00F9586E"/>
    <w:rsid w:val="00F95D5F"/>
    <w:rsid w:val="00F95DE1"/>
    <w:rsid w:val="00F962DC"/>
    <w:rsid w:val="00F97625"/>
    <w:rsid w:val="00F97CEA"/>
    <w:rsid w:val="00FA019A"/>
    <w:rsid w:val="00FA027B"/>
    <w:rsid w:val="00FA3170"/>
    <w:rsid w:val="00FA5BEE"/>
    <w:rsid w:val="00FA7972"/>
    <w:rsid w:val="00FA7995"/>
    <w:rsid w:val="00FB0D50"/>
    <w:rsid w:val="00FB1231"/>
    <w:rsid w:val="00FB1E68"/>
    <w:rsid w:val="00FB2661"/>
    <w:rsid w:val="00FB2695"/>
    <w:rsid w:val="00FB501E"/>
    <w:rsid w:val="00FB7D4D"/>
    <w:rsid w:val="00FC07DD"/>
    <w:rsid w:val="00FC0908"/>
    <w:rsid w:val="00FC1834"/>
    <w:rsid w:val="00FC1BAE"/>
    <w:rsid w:val="00FC2B22"/>
    <w:rsid w:val="00FC2F75"/>
    <w:rsid w:val="00FC3883"/>
    <w:rsid w:val="00FC3C97"/>
    <w:rsid w:val="00FC518D"/>
    <w:rsid w:val="00FC5E33"/>
    <w:rsid w:val="00FC646B"/>
    <w:rsid w:val="00FC7FD7"/>
    <w:rsid w:val="00FD045B"/>
    <w:rsid w:val="00FD14A9"/>
    <w:rsid w:val="00FD21C1"/>
    <w:rsid w:val="00FD3021"/>
    <w:rsid w:val="00FD3D31"/>
    <w:rsid w:val="00FD6895"/>
    <w:rsid w:val="00FD6B04"/>
    <w:rsid w:val="00FD6DBB"/>
    <w:rsid w:val="00FD718E"/>
    <w:rsid w:val="00FD7BA0"/>
    <w:rsid w:val="00FE03E5"/>
    <w:rsid w:val="00FE14FA"/>
    <w:rsid w:val="00FE17E2"/>
    <w:rsid w:val="00FE1E6F"/>
    <w:rsid w:val="00FE2941"/>
    <w:rsid w:val="00FE2C49"/>
    <w:rsid w:val="00FE50F4"/>
    <w:rsid w:val="00FE55CF"/>
    <w:rsid w:val="00FE5773"/>
    <w:rsid w:val="00FE5FE0"/>
    <w:rsid w:val="00FE63AB"/>
    <w:rsid w:val="00FE7FD0"/>
    <w:rsid w:val="00FF0697"/>
    <w:rsid w:val="00FF0B7F"/>
    <w:rsid w:val="00FF0C02"/>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uiPriority w:val="9"/>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 w:type="paragraph" w:styleId="NoSpacing">
    <w:name w:val="No Spacing"/>
    <w:uiPriority w:val="1"/>
    <w:qFormat/>
    <w:rsid w:val="003975E1"/>
    <w:rPr>
      <w:rFonts w:ascii="Calibri" w:eastAsia="Calibri" w:hAnsi="Calibri"/>
      <w:sz w:val="22"/>
      <w:szCs w:val="22"/>
      <w:lang w:eastAsia="en-US"/>
    </w:rPr>
  </w:style>
  <w:style w:type="paragraph" w:customStyle="1" w:styleId="Sub1Textlist">
    <w:name w:val="Sub 1 Text list"/>
    <w:basedOn w:val="ListParagraph"/>
    <w:qFormat/>
    <w:rsid w:val="00A443C7"/>
    <w:pPr>
      <w:spacing w:before="240" w:after="240"/>
      <w:ind w:left="1430" w:hanging="720"/>
      <w:outlineLvl w:val="0"/>
    </w:pPr>
    <w:rPr>
      <w:rFonts w:cs="Arial"/>
      <w:szCs w:val="24"/>
    </w:rPr>
  </w:style>
  <w:style w:type="paragraph" w:customStyle="1" w:styleId="Sub2Textlist">
    <w:name w:val="Sub 2 Text list"/>
    <w:basedOn w:val="ListParagraph"/>
    <w:link w:val="Sub2TextlistChar"/>
    <w:qFormat/>
    <w:rsid w:val="00A443C7"/>
    <w:pPr>
      <w:widowControl w:val="0"/>
      <w:tabs>
        <w:tab w:val="left" w:pos="992"/>
        <w:tab w:val="left" w:pos="3119"/>
        <w:tab w:val="left" w:pos="3686"/>
        <w:tab w:val="left" w:pos="4253"/>
      </w:tabs>
      <w:adjustRightInd w:val="0"/>
      <w:spacing w:before="240" w:after="240"/>
      <w:ind w:hanging="720"/>
      <w:textAlignment w:val="baseline"/>
      <w:outlineLvl w:val="1"/>
    </w:pPr>
    <w:rPr>
      <w:rFonts w:cs="Arial"/>
      <w:bCs/>
      <w:iCs/>
      <w:szCs w:val="24"/>
    </w:rPr>
  </w:style>
  <w:style w:type="character" w:customStyle="1" w:styleId="Sub2TextlistChar">
    <w:name w:val="Sub 2 Text list Char"/>
    <w:basedOn w:val="DefaultParagraphFont"/>
    <w:link w:val="Sub2Textlist"/>
    <w:rsid w:val="00A443C7"/>
    <w:rPr>
      <w:rFonts w:ascii="Arial" w:hAnsi="Arial" w:cs="Arial"/>
      <w:bCs/>
      <w:iCs/>
      <w:sz w:val="24"/>
      <w:szCs w:val="24"/>
      <w:lang w:eastAsia="en-US"/>
    </w:rPr>
  </w:style>
  <w:style w:type="paragraph" w:customStyle="1" w:styleId="Sub3text">
    <w:name w:val="Sub 3 text"/>
    <w:basedOn w:val="Sub2Textlist"/>
    <w:qFormat/>
    <w:rsid w:val="00A443C7"/>
    <w:pPr>
      <w:tabs>
        <w:tab w:val="num" w:pos="2880"/>
      </w:tabs>
      <w:ind w:left="2880" w:hanging="360"/>
    </w:pPr>
  </w:style>
  <w:style w:type="paragraph" w:styleId="Caption">
    <w:name w:val="caption"/>
    <w:basedOn w:val="Normal"/>
    <w:next w:val="Normal"/>
    <w:semiHidden/>
    <w:unhideWhenUsed/>
    <w:qFormat/>
    <w:rsid w:val="00235E57"/>
    <w:pPr>
      <w:spacing w:after="200"/>
    </w:pPr>
    <w:rPr>
      <w:i/>
      <w:iCs/>
      <w:color w:val="1F497D" w:themeColor="text2"/>
      <w:sz w:val="18"/>
      <w:szCs w:val="18"/>
    </w:rPr>
  </w:style>
  <w:style w:type="character" w:customStyle="1" w:styleId="ui-provider">
    <w:name w:val="ui-provider"/>
    <w:basedOn w:val="DefaultParagraphFont"/>
    <w:rsid w:val="00560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076">
      <w:bodyDiv w:val="1"/>
      <w:marLeft w:val="0"/>
      <w:marRight w:val="0"/>
      <w:marTop w:val="0"/>
      <w:marBottom w:val="0"/>
      <w:divBdr>
        <w:top w:val="none" w:sz="0" w:space="0" w:color="auto"/>
        <w:left w:val="none" w:sz="0" w:space="0" w:color="auto"/>
        <w:bottom w:val="none" w:sz="0" w:space="0" w:color="auto"/>
        <w:right w:val="none" w:sz="0" w:space="0" w:color="auto"/>
      </w:divBdr>
    </w:div>
    <w:div w:id="30805062">
      <w:bodyDiv w:val="1"/>
      <w:marLeft w:val="0"/>
      <w:marRight w:val="0"/>
      <w:marTop w:val="0"/>
      <w:marBottom w:val="0"/>
      <w:divBdr>
        <w:top w:val="none" w:sz="0" w:space="0" w:color="auto"/>
        <w:left w:val="none" w:sz="0" w:space="0" w:color="auto"/>
        <w:bottom w:val="none" w:sz="0" w:space="0" w:color="auto"/>
        <w:right w:val="none" w:sz="0" w:space="0" w:color="auto"/>
      </w:divBdr>
    </w:div>
    <w:div w:id="55981238">
      <w:bodyDiv w:val="1"/>
      <w:marLeft w:val="0"/>
      <w:marRight w:val="0"/>
      <w:marTop w:val="0"/>
      <w:marBottom w:val="0"/>
      <w:divBdr>
        <w:top w:val="none" w:sz="0" w:space="0" w:color="auto"/>
        <w:left w:val="none" w:sz="0" w:space="0" w:color="auto"/>
        <w:bottom w:val="none" w:sz="0" w:space="0" w:color="auto"/>
        <w:right w:val="none" w:sz="0" w:space="0" w:color="auto"/>
      </w:divBdr>
    </w:div>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202524161">
      <w:bodyDiv w:val="1"/>
      <w:marLeft w:val="0"/>
      <w:marRight w:val="0"/>
      <w:marTop w:val="0"/>
      <w:marBottom w:val="0"/>
      <w:divBdr>
        <w:top w:val="none" w:sz="0" w:space="0" w:color="auto"/>
        <w:left w:val="none" w:sz="0" w:space="0" w:color="auto"/>
        <w:bottom w:val="none" w:sz="0" w:space="0" w:color="auto"/>
        <w:right w:val="none" w:sz="0" w:space="0" w:color="auto"/>
      </w:divBdr>
    </w:div>
    <w:div w:id="256603449">
      <w:bodyDiv w:val="1"/>
      <w:marLeft w:val="0"/>
      <w:marRight w:val="0"/>
      <w:marTop w:val="0"/>
      <w:marBottom w:val="0"/>
      <w:divBdr>
        <w:top w:val="none" w:sz="0" w:space="0" w:color="auto"/>
        <w:left w:val="none" w:sz="0" w:space="0" w:color="auto"/>
        <w:bottom w:val="none" w:sz="0" w:space="0" w:color="auto"/>
        <w:right w:val="none" w:sz="0" w:space="0" w:color="auto"/>
      </w:divBdr>
    </w:div>
    <w:div w:id="371078406">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2787742">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39654879">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80201083">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01328058">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40367214">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895121132">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0755898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326731">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61374179">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359044377">
      <w:bodyDiv w:val="1"/>
      <w:marLeft w:val="0"/>
      <w:marRight w:val="0"/>
      <w:marTop w:val="0"/>
      <w:marBottom w:val="0"/>
      <w:divBdr>
        <w:top w:val="none" w:sz="0" w:space="0" w:color="auto"/>
        <w:left w:val="none" w:sz="0" w:space="0" w:color="auto"/>
        <w:bottom w:val="none" w:sz="0" w:space="0" w:color="auto"/>
        <w:right w:val="none" w:sz="0" w:space="0" w:color="auto"/>
      </w:divBdr>
    </w:div>
    <w:div w:id="1369069326">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132">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15718932">
      <w:bodyDiv w:val="1"/>
      <w:marLeft w:val="0"/>
      <w:marRight w:val="0"/>
      <w:marTop w:val="0"/>
      <w:marBottom w:val="0"/>
      <w:divBdr>
        <w:top w:val="none" w:sz="0" w:space="0" w:color="auto"/>
        <w:left w:val="none" w:sz="0" w:space="0" w:color="auto"/>
        <w:bottom w:val="none" w:sz="0" w:space="0" w:color="auto"/>
        <w:right w:val="none" w:sz="0" w:space="0" w:color="auto"/>
      </w:divBdr>
    </w:div>
    <w:div w:id="2020620302">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6767583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E90F0-E457-433A-90C1-6A16BA6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19</Pages>
  <Words>6256</Words>
  <Characters>32586</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Andrew Seaman5</cp:lastModifiedBy>
  <cp:revision>9</cp:revision>
  <cp:lastPrinted>2019-11-22T13:59:00Z</cp:lastPrinted>
  <dcterms:created xsi:type="dcterms:W3CDTF">2023-12-07T17:16:00Z</dcterms:created>
  <dcterms:modified xsi:type="dcterms:W3CDTF">2023-12-20T14:35:00Z</dcterms:modified>
</cp:coreProperties>
</file>